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南昌大学附属口腔医院信息集成平台项目建设要求</w:t>
      </w:r>
    </w:p>
    <w:p>
      <w:pPr>
        <w:rPr>
          <w:rFonts w:ascii="宋体" w:hAnsi="宋体"/>
          <w:b/>
          <w:sz w:val="24"/>
          <w:szCs w:val="24"/>
        </w:rPr>
      </w:pPr>
      <w:r>
        <w:rPr>
          <w:rFonts w:hint="eastAsia" w:ascii="宋体" w:hAnsi="宋体"/>
          <w:b/>
          <w:sz w:val="24"/>
          <w:szCs w:val="24"/>
        </w:rPr>
        <w:t>一、项目简介：</w:t>
      </w:r>
    </w:p>
    <w:p>
      <w:pPr>
        <w:spacing w:line="360" w:lineRule="auto"/>
        <w:ind w:firstLine="480" w:firstLineChars="200"/>
        <w:rPr>
          <w:rFonts w:ascii="宋体" w:hAnsi="宋体"/>
          <w:sz w:val="24"/>
          <w:szCs w:val="24"/>
        </w:rPr>
      </w:pPr>
      <w:r>
        <w:rPr>
          <w:rFonts w:hint="eastAsia" w:ascii="宋体" w:hAnsi="宋体"/>
          <w:sz w:val="24"/>
          <w:szCs w:val="24"/>
        </w:rPr>
        <w:t>为进一步推进医院信息化建设，促进医院内业务协同和信息资源</w:t>
      </w:r>
      <w:r>
        <w:rPr>
          <w:rFonts w:ascii="宋体" w:hAnsi="宋体"/>
          <w:sz w:val="24"/>
          <w:szCs w:val="24"/>
        </w:rPr>
        <w:t>共享，整合医疗健康数据、提高数据利用率，医院将以提高医疗质量、提升服务、实现精细化管理为目标，推动“智慧医院”建设，启动医院信息集成平台项目建设。</w:t>
      </w:r>
      <w:r>
        <w:rPr>
          <w:rFonts w:hint="eastAsia" w:ascii="宋体" w:hAnsi="宋体"/>
          <w:sz w:val="24"/>
          <w:szCs w:val="24"/>
        </w:rPr>
        <w:t>整体项目</w:t>
      </w:r>
      <w:r>
        <w:rPr>
          <w:rFonts w:ascii="宋体" w:hAnsi="宋体"/>
          <w:sz w:val="24"/>
          <w:szCs w:val="24"/>
        </w:rPr>
        <w:t>按照医院信息互联互通成熟度测评</w:t>
      </w:r>
      <w:r>
        <w:rPr>
          <w:rFonts w:hint="eastAsia" w:ascii="宋体" w:hAnsi="宋体"/>
          <w:sz w:val="24"/>
          <w:szCs w:val="24"/>
          <w:lang w:val="en-US" w:eastAsia="zh-CN"/>
        </w:rPr>
        <w:t>四级甲</w:t>
      </w:r>
      <w:r>
        <w:rPr>
          <w:rFonts w:ascii="宋体" w:hAnsi="宋体"/>
          <w:sz w:val="24"/>
          <w:szCs w:val="24"/>
        </w:rPr>
        <w:t>等进行顶层设计，以通过</w:t>
      </w:r>
      <w:r>
        <w:rPr>
          <w:rFonts w:hint="eastAsia" w:ascii="宋体" w:hAnsi="宋体"/>
          <w:sz w:val="24"/>
          <w:szCs w:val="24"/>
        </w:rPr>
        <w:t>国家</w:t>
      </w:r>
      <w:r>
        <w:rPr>
          <w:rFonts w:ascii="宋体" w:hAnsi="宋体"/>
          <w:sz w:val="24"/>
          <w:szCs w:val="24"/>
        </w:rPr>
        <w:t>电子病历</w:t>
      </w:r>
      <w:r>
        <w:rPr>
          <w:rFonts w:hint="eastAsia" w:ascii="宋体" w:hAnsi="宋体"/>
          <w:sz w:val="24"/>
          <w:szCs w:val="24"/>
        </w:rPr>
        <w:t>应用水平分级</w:t>
      </w:r>
      <w:r>
        <w:rPr>
          <w:rFonts w:ascii="宋体" w:hAnsi="宋体"/>
          <w:sz w:val="24"/>
          <w:szCs w:val="24"/>
        </w:rPr>
        <w:t>评价五级和</w:t>
      </w:r>
      <w:r>
        <w:rPr>
          <w:rFonts w:hint="eastAsia" w:ascii="宋体" w:hAnsi="宋体"/>
          <w:sz w:val="24"/>
          <w:szCs w:val="24"/>
        </w:rPr>
        <w:t>医院信息</w:t>
      </w:r>
      <w:r>
        <w:rPr>
          <w:rFonts w:ascii="宋体" w:hAnsi="宋体"/>
          <w:sz w:val="24"/>
          <w:szCs w:val="24"/>
        </w:rPr>
        <w:t>互联互通</w:t>
      </w:r>
      <w:r>
        <w:rPr>
          <w:rFonts w:hint="eastAsia" w:ascii="宋体" w:hAnsi="宋体"/>
          <w:sz w:val="24"/>
          <w:szCs w:val="24"/>
        </w:rPr>
        <w:t>成熟度测评</w:t>
      </w:r>
      <w:r>
        <w:rPr>
          <w:rFonts w:ascii="宋体" w:hAnsi="宋体"/>
          <w:sz w:val="24"/>
          <w:szCs w:val="24"/>
        </w:rPr>
        <w:t>四</w:t>
      </w:r>
      <w:r>
        <w:rPr>
          <w:rFonts w:hint="eastAsia" w:ascii="宋体" w:hAnsi="宋体"/>
          <w:sz w:val="24"/>
          <w:szCs w:val="24"/>
        </w:rPr>
        <w:t>级</w:t>
      </w:r>
      <w:r>
        <w:rPr>
          <w:rFonts w:ascii="宋体" w:hAnsi="宋体"/>
          <w:sz w:val="24"/>
          <w:szCs w:val="24"/>
        </w:rPr>
        <w:t>甲</w:t>
      </w:r>
      <w:r>
        <w:rPr>
          <w:rFonts w:hint="eastAsia" w:ascii="宋体" w:hAnsi="宋体"/>
          <w:sz w:val="24"/>
          <w:szCs w:val="24"/>
        </w:rPr>
        <w:t>等</w:t>
      </w:r>
      <w:r>
        <w:rPr>
          <w:rFonts w:ascii="宋体" w:hAnsi="宋体"/>
          <w:sz w:val="24"/>
          <w:szCs w:val="24"/>
        </w:rPr>
        <w:t>要求为建设目标，进行信息平台和数据中心</w:t>
      </w:r>
      <w:r>
        <w:rPr>
          <w:rFonts w:hint="eastAsia" w:ascii="宋体" w:hAnsi="宋体"/>
          <w:sz w:val="24"/>
          <w:szCs w:val="24"/>
        </w:rPr>
        <w:t>建设</w:t>
      </w:r>
      <w:r>
        <w:rPr>
          <w:rFonts w:ascii="宋体" w:hAnsi="宋体"/>
          <w:sz w:val="24"/>
          <w:szCs w:val="24"/>
        </w:rPr>
        <w:t>，实现各临床业务系统接口标准化管理、人员组织架构编码的统一化管理、门户权限的统一化管理、决策运营分析等功能。</w:t>
      </w:r>
    </w:p>
    <w:p>
      <w:pPr>
        <w:rPr>
          <w:rFonts w:ascii="宋体" w:hAnsi="宋体"/>
          <w:b/>
          <w:sz w:val="24"/>
          <w:szCs w:val="24"/>
        </w:rPr>
      </w:pPr>
      <w:r>
        <w:rPr>
          <w:rFonts w:hint="eastAsia" w:ascii="宋体" w:hAnsi="宋体"/>
          <w:b/>
          <w:sz w:val="24"/>
          <w:szCs w:val="24"/>
        </w:rPr>
        <w:t>二、项目要求：</w:t>
      </w:r>
    </w:p>
    <w:p>
      <w:pPr>
        <w:pStyle w:val="7"/>
        <w:numPr>
          <w:ilvl w:val="0"/>
          <w:numId w:val="1"/>
        </w:numPr>
        <w:autoSpaceDE w:val="0"/>
        <w:autoSpaceDN w:val="0"/>
        <w:adjustRightInd w:val="0"/>
        <w:spacing w:line="360" w:lineRule="auto"/>
        <w:ind w:firstLineChars="0"/>
        <w:rPr>
          <w:rFonts w:ascii="宋体" w:hAnsi="宋体"/>
          <w:b/>
          <w:sz w:val="24"/>
          <w:szCs w:val="24"/>
        </w:rPr>
      </w:pPr>
      <w:r>
        <w:rPr>
          <w:rFonts w:hint="eastAsia" w:ascii="宋体" w:hAnsi="宋体"/>
          <w:b/>
          <w:sz w:val="24"/>
          <w:szCs w:val="24"/>
        </w:rPr>
        <w:t>总体</w:t>
      </w:r>
      <w:r>
        <w:rPr>
          <w:rFonts w:ascii="宋体" w:hAnsi="宋体"/>
          <w:b/>
          <w:sz w:val="24"/>
          <w:szCs w:val="24"/>
        </w:rPr>
        <w:t>建设要求</w:t>
      </w:r>
      <w:bookmarkStart w:id="0" w:name="_GoBack"/>
      <w:bookmarkEnd w:id="0"/>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本项目建设相关系统功能必须符合</w:t>
      </w:r>
      <w:r>
        <w:rPr>
          <w:rFonts w:ascii="宋体" w:hAnsi="宋体"/>
          <w:sz w:val="24"/>
          <w:szCs w:val="24"/>
        </w:rPr>
        <w:t>国家电子病历应用水平分级评价</w:t>
      </w:r>
      <w:r>
        <w:rPr>
          <w:rFonts w:hint="eastAsia" w:ascii="宋体" w:hAnsi="宋体"/>
          <w:sz w:val="24"/>
          <w:szCs w:val="24"/>
          <w:lang w:val="en-US" w:eastAsia="zh-CN"/>
        </w:rPr>
        <w:t>五</w:t>
      </w:r>
      <w:r>
        <w:rPr>
          <w:rFonts w:ascii="宋体" w:hAnsi="宋体"/>
          <w:sz w:val="24"/>
          <w:szCs w:val="24"/>
        </w:rPr>
        <w:t>级和医院信息互联互通成熟度测评</w:t>
      </w:r>
      <w:r>
        <w:rPr>
          <w:rFonts w:hint="eastAsia" w:ascii="宋体" w:hAnsi="宋体"/>
          <w:sz w:val="24"/>
          <w:szCs w:val="24"/>
          <w:lang w:val="en-US" w:eastAsia="zh-CN"/>
        </w:rPr>
        <w:t>四级甲</w:t>
      </w:r>
      <w:r>
        <w:rPr>
          <w:rFonts w:ascii="宋体" w:hAnsi="宋体"/>
          <w:sz w:val="24"/>
          <w:szCs w:val="24"/>
        </w:rPr>
        <w:t>等</w:t>
      </w:r>
      <w:r>
        <w:rPr>
          <w:rFonts w:hint="eastAsia" w:ascii="宋体" w:hAnsi="宋体"/>
          <w:sz w:val="24"/>
          <w:szCs w:val="24"/>
        </w:rPr>
        <w:t>建设标准。通过本项目建设，202</w:t>
      </w:r>
      <w:r>
        <w:rPr>
          <w:rFonts w:hint="eastAsia" w:ascii="宋体" w:hAnsi="宋体"/>
          <w:sz w:val="24"/>
          <w:szCs w:val="24"/>
          <w:lang w:val="en-US" w:eastAsia="zh-CN"/>
        </w:rPr>
        <w:t>4</w:t>
      </w:r>
      <w:r>
        <w:rPr>
          <w:rFonts w:hint="eastAsia" w:ascii="宋体" w:hAnsi="宋体"/>
          <w:sz w:val="24"/>
          <w:szCs w:val="24"/>
        </w:rPr>
        <w:t>年通过医院信息</w:t>
      </w:r>
      <w:r>
        <w:rPr>
          <w:rFonts w:ascii="宋体" w:hAnsi="宋体"/>
          <w:sz w:val="24"/>
          <w:szCs w:val="24"/>
        </w:rPr>
        <w:t>互联互通</w:t>
      </w:r>
      <w:r>
        <w:rPr>
          <w:rFonts w:hint="eastAsia" w:ascii="宋体" w:hAnsi="宋体"/>
          <w:sz w:val="24"/>
          <w:szCs w:val="24"/>
        </w:rPr>
        <w:t>成熟度测评</w:t>
      </w:r>
      <w:r>
        <w:rPr>
          <w:rFonts w:ascii="宋体" w:hAnsi="宋体"/>
          <w:sz w:val="24"/>
          <w:szCs w:val="24"/>
        </w:rPr>
        <w:t>四</w:t>
      </w:r>
      <w:r>
        <w:rPr>
          <w:rFonts w:hint="eastAsia" w:ascii="宋体" w:hAnsi="宋体"/>
          <w:sz w:val="24"/>
          <w:szCs w:val="24"/>
        </w:rPr>
        <w:t>级</w:t>
      </w:r>
      <w:r>
        <w:rPr>
          <w:rFonts w:ascii="宋体" w:hAnsi="宋体"/>
          <w:sz w:val="24"/>
          <w:szCs w:val="24"/>
        </w:rPr>
        <w:t>甲</w:t>
      </w:r>
      <w:r>
        <w:rPr>
          <w:rFonts w:hint="eastAsia" w:ascii="宋体" w:hAnsi="宋体"/>
          <w:sz w:val="24"/>
          <w:szCs w:val="24"/>
        </w:rPr>
        <w:t>等。</w:t>
      </w:r>
    </w:p>
    <w:p>
      <w:pPr>
        <w:pStyle w:val="7"/>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体系架构要求</w:t>
      </w:r>
    </w:p>
    <w:p>
      <w:pPr>
        <w:pStyle w:val="9"/>
        <w:ind w:firstLine="480"/>
        <w:rPr>
          <w:rFonts w:ascii="宋体" w:hAnsi="宋体" w:cs="Times New Roman"/>
          <w:bCs w:val="0"/>
          <w:kern w:val="2"/>
        </w:rPr>
      </w:pPr>
      <w:r>
        <w:rPr>
          <w:rFonts w:ascii="宋体" w:hAnsi="宋体" w:cs="Times New Roman"/>
          <w:bCs w:val="0"/>
          <w:kern w:val="2"/>
        </w:rPr>
        <w:t>本项目必须充分考虑医疗行业发展趋势，采用先进的体系结构和软硬件技术，满足目前以及将来相当一段时间对系统的需求。从而达到既满足医疗机构或组织应用整合现阶段工作对系统水平和能力的要求，推动计算机应用向更高级阶段发展，又能够在今后数年内保持其技术的先进性和实用性，从而保护投资的有效性。</w:t>
      </w:r>
    </w:p>
    <w:p>
      <w:pPr>
        <w:pStyle w:val="9"/>
        <w:ind w:firstLine="480"/>
        <w:rPr>
          <w:rFonts w:ascii="宋体" w:hAnsi="宋体" w:cs="Times New Roman"/>
          <w:bCs w:val="0"/>
          <w:kern w:val="2"/>
        </w:rPr>
      </w:pPr>
      <w:r>
        <w:rPr>
          <w:rFonts w:ascii="宋体" w:hAnsi="宋体" w:cs="Times New Roman"/>
          <w:kern w:val="2"/>
        </w:rPr>
        <w:t>整体架构规划设计应采用国际主流SOA架构，采用分布式、多层次和松耦合结构。</w:t>
      </w:r>
      <w:r>
        <w:rPr>
          <w:rFonts w:ascii="宋体" w:hAnsi="宋体" w:cs="Times New Roman"/>
          <w:bCs w:val="0"/>
          <w:kern w:val="2"/>
        </w:rPr>
        <w:t>通过制定全院的数据标准、传输标准、安全体系，对医院的各个业务系统进行梳理和改造，完成符合国家标准、HL7的整合、交换、安全体系。从而实现病人服务精细化，以病人为中心，面向病人优化业务流程，加强病人就诊体验，提升医院整体服务质量。</w:t>
      </w:r>
    </w:p>
    <w:p>
      <w:pPr>
        <w:pStyle w:val="7"/>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标准规范化要求</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本项目是基于满足医院未来多年发展需要的基础上规划的，因此利用平台统一的数据必须经过标准化工作的治理和改造，包括标准规范制作流程、遵循的标准规范、数据标准化的落地及数据集标准变更的有效管理，同时基础数据字典应有版本管理功能</w:t>
      </w:r>
      <w:r>
        <w:rPr>
          <w:rFonts w:hint="eastAsia" w:ascii="宋体" w:hAnsi="宋体"/>
          <w:sz w:val="24"/>
          <w:szCs w:val="24"/>
        </w:rPr>
        <w:t>，在项目建设周期内涉及国家及地方相关政策法规和标准的变化引起的相关系统功能改造包含在本项目建设范围内</w:t>
      </w:r>
      <w:r>
        <w:rPr>
          <w:rFonts w:ascii="宋体" w:hAnsi="宋体"/>
          <w:sz w:val="24"/>
          <w:szCs w:val="24"/>
        </w:rPr>
        <w:t>。</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遵循的标准包括：国家（行业）、国际制定的各种相关规范、标准及字典库；</w:t>
      </w:r>
      <w:r>
        <w:rPr>
          <w:rFonts w:hint="eastAsia" w:ascii="宋体" w:hAnsi="宋体"/>
          <w:sz w:val="24"/>
          <w:szCs w:val="24"/>
        </w:rPr>
        <w:t>江西省</w:t>
      </w:r>
      <w:r>
        <w:rPr>
          <w:rFonts w:ascii="宋体" w:hAnsi="宋体"/>
          <w:sz w:val="24"/>
          <w:szCs w:val="24"/>
        </w:rPr>
        <w:t>卫生主管部门发布的其他相关标准</w:t>
      </w:r>
      <w:r>
        <w:rPr>
          <w:rFonts w:hint="eastAsia" w:ascii="宋体" w:hAnsi="宋体"/>
          <w:sz w:val="24"/>
          <w:szCs w:val="24"/>
        </w:rPr>
        <w:t>，</w:t>
      </w:r>
      <w:r>
        <w:rPr>
          <w:rFonts w:ascii="宋体" w:hAnsi="宋体"/>
          <w:sz w:val="24"/>
          <w:szCs w:val="24"/>
        </w:rPr>
        <w:t>结合本院实际需求自定义本项目医疗数据标准，充分实现标准本地化</w:t>
      </w:r>
      <w:r>
        <w:rPr>
          <w:rFonts w:hint="eastAsia" w:ascii="宋体" w:hAnsi="宋体"/>
          <w:sz w:val="24"/>
          <w:szCs w:val="24"/>
        </w:rPr>
        <w:t>，</w:t>
      </w:r>
      <w:r>
        <w:rPr>
          <w:rFonts w:ascii="宋体" w:hAnsi="宋体"/>
          <w:sz w:val="24"/>
          <w:szCs w:val="24"/>
        </w:rPr>
        <w:t>能兼容未来可能出现的新的数据标准。</w:t>
      </w:r>
    </w:p>
    <w:p>
      <w:pPr>
        <w:pStyle w:val="7"/>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基础硬件建设要求</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公司应</w:t>
      </w:r>
      <w:r>
        <w:rPr>
          <w:rFonts w:hint="eastAsia" w:ascii="宋体" w:hAnsi="宋体"/>
          <w:sz w:val="24"/>
          <w:szCs w:val="24"/>
        </w:rPr>
        <w:t>充分调研我院新院数据中心机房硬件配置,在</w:t>
      </w:r>
      <w:r>
        <w:rPr>
          <w:rFonts w:ascii="宋体" w:hAnsi="宋体"/>
          <w:sz w:val="24"/>
          <w:szCs w:val="24"/>
        </w:rPr>
        <w:t>考虑医院现有设备资源和未来的发展需求变化</w:t>
      </w:r>
      <w:r>
        <w:rPr>
          <w:rFonts w:hint="eastAsia" w:ascii="宋体" w:hAnsi="宋体"/>
          <w:sz w:val="24"/>
          <w:szCs w:val="24"/>
        </w:rPr>
        <w:t>的基础上,提出贵公司集成平台所需的硬件资源,同时</w:t>
      </w:r>
      <w:r>
        <w:rPr>
          <w:rFonts w:ascii="宋体" w:hAnsi="宋体"/>
          <w:sz w:val="24"/>
          <w:szCs w:val="24"/>
        </w:rPr>
        <w:t>提供如何保证系统数据安全性、可靠性、高效性的解决方案。</w:t>
      </w:r>
    </w:p>
    <w:p>
      <w:pPr>
        <w:pStyle w:val="7"/>
        <w:numPr>
          <w:ilvl w:val="0"/>
          <w:numId w:val="1"/>
        </w:numPr>
        <w:autoSpaceDE w:val="0"/>
        <w:autoSpaceDN w:val="0"/>
        <w:adjustRightInd w:val="0"/>
        <w:spacing w:line="360" w:lineRule="auto"/>
        <w:ind w:firstLineChars="0"/>
        <w:rPr>
          <w:rFonts w:ascii="宋体" w:hAnsi="宋体"/>
          <w:b/>
          <w:sz w:val="24"/>
          <w:szCs w:val="24"/>
        </w:rPr>
      </w:pPr>
      <w:r>
        <w:rPr>
          <w:rFonts w:ascii="宋体" w:hAnsi="宋体"/>
          <w:b/>
          <w:sz w:val="24"/>
          <w:szCs w:val="24"/>
        </w:rPr>
        <w:t>对项目管理的要求</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公司应提供一支专业、有丰富开发实施经验的技术团队保障项目的建设成功。项目经理应有多年成功实施</w:t>
      </w:r>
      <w:r>
        <w:rPr>
          <w:rFonts w:hint="eastAsia" w:ascii="宋体" w:hAnsi="宋体"/>
          <w:sz w:val="24"/>
          <w:szCs w:val="24"/>
        </w:rPr>
        <w:t>三甲医院信息集成平台</w:t>
      </w:r>
      <w:r>
        <w:rPr>
          <w:rFonts w:ascii="宋体" w:hAnsi="宋体"/>
          <w:sz w:val="24"/>
          <w:szCs w:val="24"/>
        </w:rPr>
        <w:t>案例的经验，且应保持稳定无变化，无特殊事由未经医院同意不得随意更换；项目团队应有专人负责数据的标准化工作和接口改造工作，熟知医院业务流程</w:t>
      </w:r>
      <w:r>
        <w:rPr>
          <w:rFonts w:hint="eastAsia" w:ascii="宋体" w:hAnsi="宋体"/>
          <w:sz w:val="24"/>
          <w:szCs w:val="24"/>
        </w:rPr>
        <w:t>；</w:t>
      </w:r>
      <w:r>
        <w:rPr>
          <w:rFonts w:ascii="宋体" w:hAnsi="宋体"/>
          <w:sz w:val="24"/>
          <w:szCs w:val="24"/>
        </w:rPr>
        <w:t>项目团队至少应保证</w:t>
      </w:r>
      <w:r>
        <w:rPr>
          <w:rFonts w:hint="eastAsia" w:ascii="宋体" w:hAnsi="宋体"/>
          <w:sz w:val="24"/>
          <w:szCs w:val="24"/>
        </w:rPr>
        <w:t>3</w:t>
      </w:r>
      <w:r>
        <w:rPr>
          <w:rFonts w:ascii="宋体" w:hAnsi="宋体"/>
          <w:sz w:val="24"/>
          <w:szCs w:val="24"/>
        </w:rPr>
        <w:t>名或以上工程师驻点7*24小时维护以保证系统的稳定运行。</w:t>
      </w:r>
    </w:p>
    <w:p>
      <w:pPr>
        <w:pStyle w:val="7"/>
        <w:numPr>
          <w:ilvl w:val="0"/>
          <w:numId w:val="1"/>
        </w:numPr>
        <w:autoSpaceDE w:val="0"/>
        <w:autoSpaceDN w:val="0"/>
        <w:adjustRightInd w:val="0"/>
        <w:spacing w:line="360" w:lineRule="auto"/>
        <w:ind w:firstLineChars="0"/>
        <w:rPr>
          <w:rFonts w:hint="default" w:ascii="宋体" w:hAnsi="宋体"/>
          <w:b/>
          <w:sz w:val="24"/>
          <w:szCs w:val="24"/>
          <w:lang w:val="en-US" w:eastAsia="zh-CN"/>
        </w:rPr>
      </w:pPr>
      <w:r>
        <w:rPr>
          <w:rFonts w:hint="eastAsia" w:ascii="宋体" w:hAnsi="宋体"/>
          <w:b/>
          <w:sz w:val="24"/>
          <w:szCs w:val="24"/>
          <w:lang w:val="en-US" w:eastAsia="zh-CN"/>
        </w:rPr>
        <w:t>质保要求</w:t>
      </w:r>
    </w:p>
    <w:p>
      <w:pPr>
        <w:autoSpaceDE w:val="0"/>
        <w:autoSpaceDN w:val="0"/>
        <w:adjustRightInd w:val="0"/>
        <w:spacing w:line="360" w:lineRule="auto"/>
        <w:ind w:firstLine="480" w:firstLineChars="200"/>
        <w:rPr>
          <w:rFonts w:hint="eastAsia" w:ascii="宋体" w:hAnsi="宋体"/>
          <w:sz w:val="24"/>
          <w:szCs w:val="24"/>
          <w:lang w:eastAsia="zh-CN"/>
        </w:rPr>
      </w:pPr>
      <w:r>
        <w:rPr>
          <w:rFonts w:hint="eastAsia" w:ascii="宋体" w:hAnsi="宋体"/>
          <w:sz w:val="24"/>
          <w:szCs w:val="24"/>
        </w:rPr>
        <w:t>软件自验收合格并移交之日起提供至少</w:t>
      </w:r>
      <w:r>
        <w:rPr>
          <w:rFonts w:hint="eastAsia" w:ascii="宋体" w:hAnsi="宋体"/>
          <w:sz w:val="24"/>
          <w:szCs w:val="24"/>
          <w:lang w:val="en-US" w:eastAsia="zh-CN"/>
        </w:rPr>
        <w:t>两</w:t>
      </w:r>
      <w:r>
        <w:rPr>
          <w:rFonts w:hint="eastAsia" w:ascii="宋体" w:hAnsi="宋体"/>
          <w:sz w:val="24"/>
          <w:szCs w:val="24"/>
        </w:rPr>
        <w:t>年免费维保期，</w:t>
      </w:r>
      <w:r>
        <w:rPr>
          <w:rFonts w:hint="eastAsia" w:ascii="宋体" w:hAnsi="宋体"/>
          <w:sz w:val="24"/>
          <w:szCs w:val="24"/>
          <w:lang w:val="en-US" w:eastAsia="zh-CN"/>
        </w:rPr>
        <w:t>免费维保期驻场人员不低于壹人</w:t>
      </w:r>
      <w:r>
        <w:rPr>
          <w:rFonts w:hint="eastAsia" w:ascii="宋体" w:hAnsi="宋体"/>
          <w:sz w:val="24"/>
          <w:szCs w:val="24"/>
          <w:lang w:eastAsia="zh-CN"/>
        </w:rPr>
        <w:t>。</w:t>
      </w:r>
    </w:p>
    <w:p>
      <w:pPr>
        <w:rPr>
          <w:rFonts w:ascii="宋体" w:hAnsi="宋体"/>
          <w:b/>
          <w:sz w:val="24"/>
          <w:szCs w:val="24"/>
        </w:rPr>
      </w:pPr>
      <w:r>
        <w:rPr>
          <w:rFonts w:hint="eastAsia" w:ascii="宋体" w:hAnsi="宋体"/>
          <w:b/>
          <w:sz w:val="24"/>
          <w:szCs w:val="24"/>
        </w:rPr>
        <w:t>三、系统需求：</w:t>
      </w:r>
    </w:p>
    <w:p>
      <w:pPr>
        <w:rPr>
          <w:rFonts w:ascii="宋体" w:hAnsi="宋体"/>
          <w:b/>
          <w:sz w:val="24"/>
          <w:szCs w:val="24"/>
        </w:rPr>
      </w:pPr>
      <w:r>
        <w:rPr>
          <w:rFonts w:hint="eastAsia" w:ascii="宋体" w:hAnsi="宋体"/>
          <w:b/>
          <w:sz w:val="24"/>
          <w:szCs w:val="24"/>
        </w:rPr>
        <w:t>1.软件需求:</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按照我院的基本需求，将贵公司产品功能具体进行阐述</w:t>
      </w:r>
      <w:r>
        <w:rPr>
          <w:rFonts w:hint="eastAsia" w:ascii="宋体" w:hAnsi="宋体"/>
          <w:sz w:val="24"/>
          <w:szCs w:val="24"/>
          <w:lang w:eastAsia="zh-CN"/>
        </w:rPr>
        <w:t>，</w:t>
      </w:r>
      <w:r>
        <w:rPr>
          <w:rFonts w:hint="eastAsia" w:ascii="宋体" w:hAnsi="宋体"/>
          <w:sz w:val="24"/>
          <w:szCs w:val="24"/>
          <w:lang w:val="en-US" w:eastAsia="zh-CN"/>
        </w:rPr>
        <w:t>可进行现场演示</w:t>
      </w:r>
      <w:r>
        <w:rPr>
          <w:rFonts w:hint="eastAsia" w:ascii="宋体" w:hAnsi="宋体"/>
          <w:sz w:val="24"/>
          <w:szCs w:val="24"/>
        </w:rPr>
        <w:t>。</w:t>
      </w:r>
    </w:p>
    <w:tbl>
      <w:tblPr>
        <w:tblStyle w:val="5"/>
        <w:tblW w:w="8495" w:type="dxa"/>
        <w:jc w:val="center"/>
        <w:tblLayout w:type="fixed"/>
        <w:tblCellMar>
          <w:top w:w="0" w:type="dxa"/>
          <w:left w:w="108" w:type="dxa"/>
          <w:bottom w:w="0" w:type="dxa"/>
          <w:right w:w="108" w:type="dxa"/>
        </w:tblCellMar>
      </w:tblPr>
      <w:tblGrid>
        <w:gridCol w:w="1704"/>
        <w:gridCol w:w="980"/>
        <w:gridCol w:w="4677"/>
        <w:gridCol w:w="1134"/>
      </w:tblGrid>
      <w:tr>
        <w:tblPrEx>
          <w:tblCellMar>
            <w:top w:w="0" w:type="dxa"/>
            <w:left w:w="108" w:type="dxa"/>
            <w:bottom w:w="0" w:type="dxa"/>
            <w:right w:w="108" w:type="dxa"/>
          </w:tblCellMar>
        </w:tblPrEx>
        <w:trPr>
          <w:trHeight w:val="285" w:hRule="atLeast"/>
          <w:jc w:val="center"/>
        </w:trPr>
        <w:tc>
          <w:tcPr>
            <w:tcW w:w="1704" w:type="dxa"/>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ind w:firstLine="0" w:firstLineChars="0"/>
              <w:jc w:val="center"/>
              <w:rPr>
                <w:rFonts w:cs="宋体"/>
                <w:b/>
                <w:bCs/>
                <w:kern w:val="0"/>
                <w:sz w:val="24"/>
              </w:rPr>
            </w:pPr>
            <w:r>
              <w:rPr>
                <w:rFonts w:hint="eastAsia" w:cs="宋体"/>
                <w:b/>
                <w:bCs/>
                <w:kern w:val="0"/>
                <w:sz w:val="24"/>
              </w:rPr>
              <w:t>分类</w:t>
            </w:r>
          </w:p>
        </w:tc>
        <w:tc>
          <w:tcPr>
            <w:tcW w:w="980" w:type="dxa"/>
            <w:tcBorders>
              <w:top w:val="single" w:color="auto" w:sz="4" w:space="0"/>
              <w:left w:val="nil"/>
              <w:bottom w:val="single" w:color="auto" w:sz="4" w:space="0"/>
              <w:right w:val="single" w:color="auto" w:sz="8" w:space="0"/>
            </w:tcBorders>
            <w:shd w:val="clear" w:color="auto" w:fill="auto"/>
            <w:noWrap/>
            <w:vAlign w:val="center"/>
          </w:tcPr>
          <w:p>
            <w:pPr>
              <w:widowControl/>
              <w:ind w:firstLine="0" w:firstLineChars="0"/>
              <w:jc w:val="center"/>
              <w:rPr>
                <w:rFonts w:cs="宋体"/>
                <w:b/>
                <w:bCs/>
                <w:kern w:val="0"/>
                <w:sz w:val="24"/>
              </w:rPr>
            </w:pPr>
            <w:r>
              <w:rPr>
                <w:rFonts w:hint="eastAsia" w:cs="宋体"/>
                <w:b/>
                <w:bCs/>
                <w:kern w:val="0"/>
                <w:sz w:val="24"/>
              </w:rPr>
              <w:t>序号</w:t>
            </w:r>
          </w:p>
        </w:tc>
        <w:tc>
          <w:tcPr>
            <w:tcW w:w="4677" w:type="dxa"/>
            <w:tcBorders>
              <w:top w:val="single" w:color="auto" w:sz="4" w:space="0"/>
              <w:left w:val="nil"/>
              <w:bottom w:val="single" w:color="auto" w:sz="4" w:space="0"/>
              <w:right w:val="single" w:color="auto" w:sz="8" w:space="0"/>
            </w:tcBorders>
            <w:shd w:val="clear" w:color="auto" w:fill="auto"/>
            <w:noWrap/>
            <w:vAlign w:val="center"/>
          </w:tcPr>
          <w:p>
            <w:pPr>
              <w:widowControl/>
              <w:ind w:firstLine="0" w:firstLineChars="0"/>
              <w:jc w:val="center"/>
              <w:rPr>
                <w:rFonts w:cs="宋体"/>
                <w:b/>
                <w:bCs/>
                <w:kern w:val="0"/>
                <w:sz w:val="24"/>
              </w:rPr>
            </w:pPr>
            <w:r>
              <w:rPr>
                <w:rFonts w:hint="eastAsia" w:cs="宋体"/>
                <w:b/>
                <w:bCs/>
                <w:kern w:val="0"/>
                <w:sz w:val="24"/>
              </w:rPr>
              <w:t>建设内容</w:t>
            </w:r>
          </w:p>
        </w:tc>
        <w:tc>
          <w:tcPr>
            <w:tcW w:w="1134" w:type="dxa"/>
            <w:tcBorders>
              <w:top w:val="single" w:color="auto" w:sz="4" w:space="0"/>
              <w:left w:val="nil"/>
              <w:bottom w:val="single" w:color="auto" w:sz="4" w:space="0"/>
              <w:right w:val="single" w:color="auto" w:sz="8" w:space="0"/>
            </w:tcBorders>
            <w:shd w:val="clear" w:color="auto" w:fill="auto"/>
            <w:noWrap/>
            <w:vAlign w:val="center"/>
          </w:tcPr>
          <w:p>
            <w:pPr>
              <w:widowControl/>
              <w:ind w:firstLine="0" w:firstLineChars="0"/>
              <w:jc w:val="center"/>
              <w:rPr>
                <w:rFonts w:cs="宋体"/>
                <w:b/>
                <w:bCs/>
                <w:kern w:val="0"/>
                <w:sz w:val="24"/>
              </w:rPr>
            </w:pPr>
            <w:r>
              <w:rPr>
                <w:rFonts w:hint="eastAsia" w:cs="宋体"/>
                <w:b/>
                <w:bCs/>
                <w:kern w:val="0"/>
                <w:sz w:val="24"/>
              </w:rPr>
              <w:t>数量</w:t>
            </w:r>
          </w:p>
        </w:tc>
      </w:tr>
      <w:tr>
        <w:tblPrEx>
          <w:tblCellMar>
            <w:top w:w="0" w:type="dxa"/>
            <w:left w:w="108" w:type="dxa"/>
            <w:bottom w:w="0" w:type="dxa"/>
            <w:right w:w="108" w:type="dxa"/>
          </w:tblCellMar>
        </w:tblPrEx>
        <w:trPr>
          <w:trHeight w:val="285" w:hRule="atLeast"/>
          <w:jc w:val="center"/>
        </w:trPr>
        <w:tc>
          <w:tcPr>
            <w:tcW w:w="1704" w:type="dxa"/>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r>
              <w:rPr>
                <w:rFonts w:hint="eastAsia" w:cs="宋体"/>
                <w:kern w:val="0"/>
                <w:sz w:val="24"/>
              </w:rPr>
              <w:t>集成平台建设</w:t>
            </w:r>
          </w:p>
        </w:tc>
        <w:tc>
          <w:tcPr>
            <w:tcW w:w="980" w:type="dxa"/>
            <w:tcBorders>
              <w:top w:val="single" w:color="auto" w:sz="4" w:space="0"/>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single" w:color="auto" w:sz="4" w:space="0"/>
              <w:left w:val="nil"/>
              <w:bottom w:val="single" w:color="auto" w:sz="8" w:space="0"/>
              <w:right w:val="single" w:color="auto" w:sz="8" w:space="0"/>
            </w:tcBorders>
            <w:shd w:val="clear" w:color="auto" w:fill="auto"/>
            <w:vAlign w:val="center"/>
          </w:tcPr>
          <w:p>
            <w:pPr>
              <w:pStyle w:val="13"/>
              <w:ind w:left="0" w:firstLine="0" w:firstLineChars="0"/>
              <w:rPr>
                <w:rFonts w:ascii="宋体" w:hAnsi="宋体"/>
                <w:lang w:eastAsia="zh-Hans"/>
              </w:rPr>
            </w:pPr>
            <w:r>
              <w:rPr>
                <w:rFonts w:hint="eastAsia" w:ascii="宋体" w:hAnsi="宋体"/>
                <w:lang w:eastAsia="zh-Hans"/>
              </w:rPr>
              <w:t>集成规范的编制</w:t>
            </w:r>
          </w:p>
        </w:tc>
        <w:tc>
          <w:tcPr>
            <w:tcW w:w="1134" w:type="dxa"/>
            <w:tcBorders>
              <w:top w:val="single" w:color="auto" w:sz="4" w:space="0"/>
              <w:left w:val="nil"/>
              <w:bottom w:val="single" w:color="auto" w:sz="8" w:space="0"/>
              <w:right w:val="single" w:color="auto" w:sz="8" w:space="0"/>
            </w:tcBorders>
            <w:shd w:val="clear" w:color="auto" w:fill="auto"/>
          </w:tcPr>
          <w:p>
            <w:pPr>
              <w:ind w:firstLine="0" w:firstLineChars="0"/>
              <w:jc w:val="center"/>
            </w:pPr>
            <w:r>
              <w:rPr>
                <w:rFonts w:hint="eastAsia" w:cs="宋体"/>
                <w:kern w:val="0"/>
                <w:sz w:val="24"/>
              </w:rPr>
              <w:t>1项</w:t>
            </w:r>
          </w:p>
        </w:tc>
      </w:tr>
      <w:tr>
        <w:tblPrEx>
          <w:tblCellMar>
            <w:top w:w="0" w:type="dxa"/>
            <w:left w:w="108" w:type="dxa"/>
            <w:bottom w:w="0" w:type="dxa"/>
            <w:right w:w="108" w:type="dxa"/>
          </w:tblCellMar>
        </w:tblPrEx>
        <w:trPr>
          <w:trHeight w:val="285" w:hRule="atLeast"/>
          <w:jc w:val="center"/>
        </w:trPr>
        <w:tc>
          <w:tcPr>
            <w:tcW w:w="1704" w:type="dxa"/>
            <w:vMerge w:val="continue"/>
            <w:tcBorders>
              <w:top w:val="single" w:color="auto" w:sz="4" w:space="0"/>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single" w:color="auto" w:sz="4" w:space="0"/>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single" w:color="auto" w:sz="4" w:space="0"/>
              <w:left w:val="nil"/>
              <w:bottom w:val="single" w:color="auto" w:sz="8" w:space="0"/>
              <w:right w:val="single" w:color="auto" w:sz="8" w:space="0"/>
            </w:tcBorders>
            <w:shd w:val="clear" w:color="auto" w:fill="auto"/>
            <w:vAlign w:val="center"/>
          </w:tcPr>
          <w:p>
            <w:pPr>
              <w:pStyle w:val="13"/>
              <w:ind w:left="0" w:firstLine="0" w:firstLineChars="0"/>
              <w:rPr>
                <w:rFonts w:ascii="宋体" w:hAnsi="宋体"/>
                <w:lang w:eastAsia="zh-Hans"/>
              </w:rPr>
            </w:pPr>
            <w:r>
              <w:rPr>
                <w:rFonts w:hint="eastAsia" w:ascii="宋体" w:hAnsi="宋体"/>
                <w:lang w:eastAsia="zh-Hans"/>
              </w:rPr>
              <w:t>医疗应用集成平台</w:t>
            </w:r>
          </w:p>
        </w:tc>
        <w:tc>
          <w:tcPr>
            <w:tcW w:w="1134" w:type="dxa"/>
            <w:tcBorders>
              <w:top w:val="single" w:color="auto" w:sz="4" w:space="0"/>
              <w:left w:val="nil"/>
              <w:bottom w:val="single" w:color="auto" w:sz="8" w:space="0"/>
              <w:right w:val="single" w:color="auto" w:sz="8" w:space="0"/>
            </w:tcBorders>
            <w:shd w:val="clear" w:color="auto" w:fill="auto"/>
          </w:tcPr>
          <w:p>
            <w:pPr>
              <w:ind w:firstLine="0" w:firstLineChars="0"/>
              <w:jc w:val="cente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single" w:color="auto" w:sz="4" w:space="0"/>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single" w:color="auto" w:sz="4" w:space="0"/>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single" w:color="auto" w:sz="4" w:space="0"/>
              <w:left w:val="nil"/>
              <w:bottom w:val="single" w:color="auto" w:sz="8" w:space="0"/>
              <w:right w:val="single" w:color="auto" w:sz="8" w:space="0"/>
            </w:tcBorders>
            <w:shd w:val="clear" w:color="auto" w:fill="auto"/>
            <w:vAlign w:val="center"/>
          </w:tcPr>
          <w:p>
            <w:pPr>
              <w:pStyle w:val="13"/>
              <w:ind w:left="0" w:firstLine="0" w:firstLineChars="0"/>
              <w:rPr>
                <w:rFonts w:ascii="宋体" w:hAnsi="宋体"/>
                <w:lang w:eastAsia="zh-Hans"/>
              </w:rPr>
            </w:pPr>
            <w:r>
              <w:rPr>
                <w:rFonts w:hint="eastAsia" w:ascii="宋体" w:hAnsi="宋体"/>
                <w:lang w:eastAsia="zh-Hans"/>
              </w:rPr>
              <w:t>交互服务配置管理与运行监控系统</w:t>
            </w:r>
          </w:p>
        </w:tc>
        <w:tc>
          <w:tcPr>
            <w:tcW w:w="1134" w:type="dxa"/>
            <w:tcBorders>
              <w:top w:val="single" w:color="auto" w:sz="4" w:space="0"/>
              <w:left w:val="nil"/>
              <w:bottom w:val="single" w:color="auto" w:sz="8" w:space="0"/>
              <w:right w:val="single" w:color="auto" w:sz="8" w:space="0"/>
            </w:tcBorders>
            <w:shd w:val="clear" w:color="auto" w:fill="auto"/>
          </w:tcPr>
          <w:p>
            <w:pPr>
              <w:ind w:firstLine="0" w:firstLineChars="0"/>
              <w:jc w:val="cente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患者主索引（EMPI）</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主数据管理（MDM）</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电子病历共享文档（CDA）管理</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统一用户认证与单点登录</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r>
              <w:rPr>
                <w:rFonts w:hint="eastAsia" w:cs="宋体"/>
                <w:kern w:val="0"/>
                <w:sz w:val="24"/>
              </w:rPr>
              <w:t>全院数据中心建设</w:t>
            </w: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数据接入</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1项</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操作数据(</w:t>
            </w:r>
            <w:r>
              <w:rPr>
                <w:rFonts w:cs="宋体"/>
                <w:kern w:val="0"/>
                <w:sz w:val="24"/>
              </w:rPr>
              <w:t>ODS)</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数据管理与监控</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数据脱敏管理</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300"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临床数据中心（CDR）</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top w:val="nil"/>
              <w:left w:val="single" w:color="auto" w:sz="8" w:space="0"/>
              <w:bottom w:val="single" w:color="000000"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rPr>
                <w:rFonts w:cs="宋体"/>
                <w:kern w:val="0"/>
                <w:sz w:val="24"/>
              </w:rPr>
            </w:pPr>
            <w:r>
              <w:rPr>
                <w:rFonts w:hint="eastAsia" w:cs="宋体"/>
                <w:kern w:val="0"/>
                <w:sz w:val="24"/>
              </w:rPr>
              <w:t>运营数据中心（ODR)</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restart"/>
            <w:tcBorders>
              <w:top w:val="nil"/>
              <w:left w:val="single" w:color="auto" w:sz="8" w:space="0"/>
              <w:right w:val="single" w:color="auto" w:sz="8" w:space="0"/>
            </w:tcBorders>
            <w:shd w:val="clear" w:color="000000" w:fill="FFFFFF"/>
            <w:vAlign w:val="center"/>
          </w:tcPr>
          <w:p>
            <w:pPr>
              <w:widowControl/>
              <w:ind w:firstLine="0" w:firstLineChars="0"/>
              <w:jc w:val="center"/>
              <w:rPr>
                <w:rFonts w:cs="宋体"/>
                <w:kern w:val="0"/>
                <w:sz w:val="24"/>
              </w:rPr>
            </w:pPr>
            <w:r>
              <w:rPr>
                <w:rFonts w:hint="eastAsia" w:cs="宋体"/>
                <w:kern w:val="0"/>
                <w:sz w:val="24"/>
              </w:rPr>
              <w:t>基于全院数据中心的应用</w:t>
            </w: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患者360视图</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shd w:val="clear" w:color="000000" w:fill="FFFFFF"/>
            <w:vAlign w:val="center"/>
          </w:tcPr>
          <w:p>
            <w:pPr>
              <w:widowControl/>
              <w:ind w:firstLine="0" w:firstLineChars="0"/>
              <w:jc w:val="center"/>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患者360移动端</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医院运营管理决策分析系统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cs="宋体"/>
                <w:kern w:val="0"/>
                <w:sz w:val="24"/>
              </w:rPr>
              <w:t>移动端医院运营管理决策分析系统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医疗质量管理决策分析系统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院长管理驾驶舱</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闭环追踪与监测系统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公立医院绩效考核系统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8"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8"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合理用药系统</w:t>
            </w:r>
          </w:p>
        </w:tc>
        <w:tc>
          <w:tcPr>
            <w:tcW w:w="1134" w:type="dxa"/>
            <w:tcBorders>
              <w:top w:val="nil"/>
              <w:left w:val="nil"/>
              <w:bottom w:val="single" w:color="auto" w:sz="8"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vMerge w:val="continue"/>
            <w:tcBorders>
              <w:left w:val="single" w:color="auto" w:sz="8" w:space="0"/>
              <w:bottom w:val="single" w:color="auto" w:sz="4" w:space="0"/>
              <w:right w:val="single" w:color="auto" w:sz="8" w:space="0"/>
            </w:tcBorders>
            <w:vAlign w:val="center"/>
          </w:tcPr>
          <w:p>
            <w:pPr>
              <w:widowControl/>
              <w:ind w:firstLine="0" w:firstLineChars="0"/>
              <w:jc w:val="left"/>
              <w:rPr>
                <w:rFonts w:cs="宋体"/>
                <w:kern w:val="0"/>
                <w:sz w:val="24"/>
              </w:rPr>
            </w:pPr>
          </w:p>
        </w:tc>
        <w:tc>
          <w:tcPr>
            <w:tcW w:w="980" w:type="dxa"/>
            <w:tcBorders>
              <w:top w:val="nil"/>
              <w:left w:val="nil"/>
              <w:bottom w:val="single" w:color="auto" w:sz="4" w:space="0"/>
              <w:right w:val="single" w:color="auto" w:sz="8"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nil"/>
              <w:left w:val="nil"/>
              <w:bottom w:val="single" w:color="auto" w:sz="4" w:space="0"/>
              <w:right w:val="single" w:color="auto" w:sz="8" w:space="0"/>
            </w:tcBorders>
            <w:shd w:val="clear" w:color="auto" w:fill="auto"/>
            <w:vAlign w:val="center"/>
          </w:tcPr>
          <w:p>
            <w:pPr>
              <w:widowControl/>
              <w:ind w:firstLine="0" w:firstLineChars="0"/>
              <w:jc w:val="left"/>
              <w:rPr>
                <w:rFonts w:cs="宋体"/>
                <w:kern w:val="0"/>
                <w:sz w:val="24"/>
              </w:rPr>
            </w:pPr>
            <w:r>
              <w:rPr>
                <w:rFonts w:hint="eastAsia" w:cs="宋体"/>
                <w:kern w:val="0"/>
                <w:sz w:val="24"/>
              </w:rPr>
              <w:t>临床辅助决策系统</w:t>
            </w:r>
          </w:p>
        </w:tc>
        <w:tc>
          <w:tcPr>
            <w:tcW w:w="1134" w:type="dxa"/>
            <w:tcBorders>
              <w:top w:val="nil"/>
              <w:left w:val="nil"/>
              <w:bottom w:val="single" w:color="auto" w:sz="4" w:space="0"/>
              <w:right w:val="single" w:color="auto" w:sz="8"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r>
        <w:tblPrEx>
          <w:tblCellMar>
            <w:top w:w="0" w:type="dxa"/>
            <w:left w:w="108" w:type="dxa"/>
            <w:bottom w:w="0" w:type="dxa"/>
            <w:right w:w="108" w:type="dxa"/>
          </w:tblCellMar>
        </w:tblPrEx>
        <w:trPr>
          <w:trHeight w:val="285" w:hRule="atLeast"/>
          <w:jc w:val="center"/>
        </w:trPr>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rPr>
                <w:rFonts w:cs="宋体"/>
                <w:kern w:val="0"/>
                <w:sz w:val="24"/>
              </w:rPr>
            </w:pPr>
            <w:r>
              <w:rPr>
                <w:rFonts w:hint="eastAsia" w:cs="宋体"/>
                <w:kern w:val="0"/>
                <w:sz w:val="24"/>
              </w:rPr>
              <w:t>互联互通测评服务</w:t>
            </w:r>
          </w:p>
        </w:tc>
        <w:tc>
          <w:tcPr>
            <w:tcW w:w="98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cs="宋体"/>
                <w:kern w:val="0"/>
                <w:sz w:val="24"/>
              </w:rPr>
            </w:pPr>
            <w:r>
              <w:rPr>
                <w:rFonts w:hint="eastAsia" w:cs="宋体"/>
                <w:kern w:val="0"/>
                <w:sz w:val="24"/>
              </w:rPr>
              <w:t>互联互通标准化成熟度测评咨询服务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cs="宋体"/>
                <w:kern w:val="0"/>
                <w:sz w:val="24"/>
              </w:rPr>
            </w:pPr>
            <w:r>
              <w:rPr>
                <w:rFonts w:hint="eastAsia" w:cs="宋体"/>
                <w:kern w:val="0"/>
                <w:sz w:val="24"/>
              </w:rPr>
              <w:t>1次</w:t>
            </w:r>
          </w:p>
        </w:tc>
      </w:tr>
      <w:tr>
        <w:tblPrEx>
          <w:tblCellMar>
            <w:top w:w="0" w:type="dxa"/>
            <w:left w:w="108" w:type="dxa"/>
            <w:bottom w:w="0" w:type="dxa"/>
            <w:right w:w="108" w:type="dxa"/>
          </w:tblCellMar>
        </w:tblPrEx>
        <w:trPr>
          <w:trHeight w:val="285" w:hRule="atLeast"/>
          <w:jc w:val="center"/>
        </w:trPr>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rPr>
                <w:rFonts w:cs="宋体"/>
                <w:kern w:val="0"/>
                <w:sz w:val="24"/>
              </w:rPr>
            </w:pPr>
            <w:r>
              <w:rPr>
                <w:rFonts w:hint="eastAsia" w:cs="宋体"/>
                <w:kern w:val="0"/>
                <w:sz w:val="24"/>
              </w:rPr>
              <w:t>接口</w:t>
            </w:r>
          </w:p>
        </w:tc>
        <w:tc>
          <w:tcPr>
            <w:tcW w:w="98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
              <w:widowControl/>
              <w:numPr>
                <w:ilvl w:val="0"/>
                <w:numId w:val="2"/>
              </w:numPr>
              <w:ind w:left="0" w:firstLine="0" w:firstLineChars="0"/>
              <w:jc w:val="center"/>
              <w:rPr>
                <w:rFonts w:cs="宋体"/>
                <w:kern w:val="0"/>
                <w:sz w:val="24"/>
              </w:rPr>
            </w:pP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cs="宋体"/>
                <w:kern w:val="0"/>
                <w:sz w:val="24"/>
              </w:rPr>
            </w:pPr>
            <w:r>
              <w:rPr>
                <w:rFonts w:hint="eastAsia" w:cs="宋体"/>
                <w:kern w:val="0"/>
                <w:sz w:val="24"/>
              </w:rPr>
              <w:t>现有系统（HIS</w:t>
            </w:r>
            <w:r>
              <w:rPr>
                <w:rFonts w:hint="eastAsia" w:cs="宋体"/>
                <w:kern w:val="0"/>
                <w:sz w:val="24"/>
                <w:lang w:eastAsia="zh-CN"/>
              </w:rPr>
              <w:t>（</w:t>
            </w:r>
            <w:r>
              <w:rPr>
                <w:rFonts w:hint="eastAsia" w:cs="宋体"/>
                <w:kern w:val="0"/>
                <w:sz w:val="24"/>
                <w:lang w:val="en-US" w:eastAsia="zh-CN"/>
              </w:rPr>
              <w:t>含门诊电子病历一体化改造）</w:t>
            </w:r>
            <w:r>
              <w:rPr>
                <w:rFonts w:hint="eastAsia" w:cs="宋体"/>
                <w:kern w:val="0"/>
                <w:sz w:val="24"/>
              </w:rPr>
              <w:t>、LIS、</w:t>
            </w:r>
            <w:r>
              <w:rPr>
                <w:rFonts w:hint="eastAsia" w:cs="宋体"/>
                <w:kern w:val="0"/>
                <w:sz w:val="24"/>
                <w:lang w:val="en-US" w:eastAsia="zh-CN"/>
              </w:rPr>
              <w:t>PACS、</w:t>
            </w:r>
            <w:r>
              <w:rPr>
                <w:rFonts w:hint="eastAsia" w:cs="宋体"/>
                <w:kern w:val="0"/>
                <w:sz w:val="24"/>
              </w:rPr>
              <w:t>移动护理、病历系统、</w:t>
            </w:r>
            <w:r>
              <w:rPr>
                <w:rFonts w:hint="eastAsia" w:cs="宋体"/>
                <w:kern w:val="0"/>
                <w:sz w:val="24"/>
                <w:lang w:val="en-US" w:eastAsia="zh-CN"/>
              </w:rPr>
              <w:t>病理系统、HRP、三维后处理软件系统、</w:t>
            </w:r>
            <w:r>
              <w:rPr>
                <w:rFonts w:hint="eastAsia" w:cs="宋体"/>
                <w:kern w:val="0"/>
                <w:sz w:val="24"/>
              </w:rPr>
              <w:t>手麻系统</w:t>
            </w:r>
            <w:r>
              <w:rPr>
                <w:rFonts w:hint="eastAsia" w:cs="宋体"/>
                <w:kern w:val="0"/>
                <w:sz w:val="24"/>
                <w:lang w:val="en-US" w:eastAsia="zh-CN"/>
              </w:rPr>
              <w:t>等</w:t>
            </w:r>
            <w:r>
              <w:rPr>
                <w:rFonts w:hint="eastAsia" w:cs="宋体"/>
                <w:kern w:val="0"/>
                <w:sz w:val="24"/>
              </w:rPr>
              <w:t>）接入信息集成平台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cs="宋体"/>
                <w:kern w:val="0"/>
                <w:sz w:val="24"/>
              </w:rPr>
            </w:pPr>
            <w:r>
              <w:rPr>
                <w:rFonts w:hint="eastAsia" w:cs="宋体"/>
                <w:kern w:val="0"/>
                <w:sz w:val="24"/>
              </w:rPr>
              <w:t>1套</w:t>
            </w:r>
          </w:p>
        </w:tc>
      </w:tr>
    </w:tbl>
    <w:p>
      <w:pPr>
        <w:tabs>
          <w:tab w:val="left" w:pos="5295"/>
        </w:tabs>
        <w:rPr>
          <w:rFonts w:ascii="宋体" w:hAnsi="宋体" w:cs="宋体"/>
          <w:color w:val="000000"/>
          <w:kern w:val="0"/>
          <w:sz w:val="24"/>
          <w:szCs w:val="24"/>
        </w:rPr>
      </w:pPr>
    </w:p>
    <w:p>
      <w:pPr>
        <w:tabs>
          <w:tab w:val="left" w:pos="5295"/>
        </w:tabs>
        <w:rPr>
          <w:rFonts w:ascii="宋体" w:hAnsi="宋体" w:cs="宋体"/>
          <w:b/>
          <w:bCs/>
          <w:sz w:val="24"/>
          <w:szCs w:val="24"/>
        </w:rPr>
      </w:pPr>
      <w:r>
        <w:rPr>
          <w:rFonts w:hint="eastAsia" w:ascii="宋体" w:hAnsi="宋体" w:cs="宋体"/>
          <w:b/>
          <w:bCs/>
          <w:sz w:val="24"/>
          <w:szCs w:val="24"/>
        </w:rPr>
        <w:t>2、硬件需求：</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请充分调研我院新院硬件环境,列出符合项目建设的硬件设备要求(可增行)。</w:t>
      </w:r>
    </w:p>
    <w:tbl>
      <w:tblPr>
        <w:tblStyle w:val="5"/>
        <w:tblW w:w="5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992"/>
        <w:gridCol w:w="851"/>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服务器名称</w:t>
            </w:r>
          </w:p>
        </w:tc>
        <w:tc>
          <w:tcPr>
            <w:tcW w:w="992" w:type="dxa"/>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内存</w:t>
            </w:r>
          </w:p>
        </w:tc>
        <w:tc>
          <w:tcPr>
            <w:tcW w:w="851" w:type="dxa"/>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CPU</w:t>
            </w:r>
          </w:p>
        </w:tc>
        <w:tc>
          <w:tcPr>
            <w:tcW w:w="992"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硬盘</w:t>
            </w:r>
          </w:p>
        </w:tc>
        <w:tc>
          <w:tcPr>
            <w:tcW w:w="1559"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992" w:type="dxa"/>
          </w:tcPr>
          <w:p>
            <w:pPr>
              <w:widowControl/>
              <w:jc w:val="right"/>
              <w:rPr>
                <w:rFonts w:ascii="宋体" w:hAnsi="宋体" w:cs="宋体"/>
                <w:color w:val="000000"/>
                <w:kern w:val="0"/>
                <w:sz w:val="22"/>
              </w:rPr>
            </w:pPr>
          </w:p>
        </w:tc>
        <w:tc>
          <w:tcPr>
            <w:tcW w:w="851" w:type="dxa"/>
          </w:tcPr>
          <w:p>
            <w:pPr>
              <w:widowControl/>
              <w:jc w:val="right"/>
              <w:rPr>
                <w:rFonts w:ascii="宋体" w:hAnsi="宋体" w:cs="宋体"/>
                <w:color w:val="000000"/>
                <w:kern w:val="0"/>
                <w:sz w:val="22"/>
              </w:rPr>
            </w:pPr>
          </w:p>
        </w:tc>
        <w:tc>
          <w:tcPr>
            <w:tcW w:w="992" w:type="dxa"/>
            <w:shd w:val="clear" w:color="auto" w:fill="auto"/>
            <w:noWrap/>
            <w:vAlign w:val="center"/>
          </w:tcPr>
          <w:p>
            <w:pPr>
              <w:widowControl/>
              <w:jc w:val="right"/>
              <w:rPr>
                <w:rFonts w:ascii="宋体" w:hAnsi="宋体" w:cs="宋体"/>
                <w:color w:val="000000"/>
                <w:kern w:val="0"/>
                <w:sz w:val="22"/>
              </w:rPr>
            </w:pPr>
          </w:p>
        </w:tc>
        <w:tc>
          <w:tcPr>
            <w:tcW w:w="1559" w:type="dxa"/>
            <w:shd w:val="clear" w:color="auto" w:fill="auto"/>
            <w:noWrap/>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992" w:type="dxa"/>
          </w:tcPr>
          <w:p>
            <w:pPr>
              <w:widowControl/>
              <w:jc w:val="right"/>
              <w:rPr>
                <w:rFonts w:ascii="宋体" w:hAnsi="宋体" w:cs="宋体"/>
                <w:color w:val="000000"/>
                <w:kern w:val="0"/>
                <w:sz w:val="22"/>
              </w:rPr>
            </w:pPr>
          </w:p>
        </w:tc>
        <w:tc>
          <w:tcPr>
            <w:tcW w:w="851" w:type="dxa"/>
          </w:tcPr>
          <w:p>
            <w:pPr>
              <w:widowControl/>
              <w:jc w:val="right"/>
              <w:rPr>
                <w:rFonts w:ascii="宋体" w:hAnsi="宋体" w:cs="宋体"/>
                <w:color w:val="000000"/>
                <w:kern w:val="0"/>
                <w:sz w:val="22"/>
              </w:rPr>
            </w:pPr>
          </w:p>
        </w:tc>
        <w:tc>
          <w:tcPr>
            <w:tcW w:w="992" w:type="dxa"/>
            <w:shd w:val="clear" w:color="auto" w:fill="auto"/>
            <w:noWrap/>
            <w:vAlign w:val="center"/>
          </w:tcPr>
          <w:p>
            <w:pPr>
              <w:widowControl/>
              <w:jc w:val="right"/>
              <w:rPr>
                <w:rFonts w:ascii="宋体" w:hAnsi="宋体" w:cs="宋体"/>
                <w:color w:val="000000"/>
                <w:kern w:val="0"/>
                <w:sz w:val="22"/>
              </w:rPr>
            </w:pPr>
          </w:p>
        </w:tc>
        <w:tc>
          <w:tcPr>
            <w:tcW w:w="1559" w:type="dxa"/>
            <w:shd w:val="clear" w:color="auto" w:fill="auto"/>
            <w:noWrap/>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9" w:type="dxa"/>
            <w:shd w:val="clear" w:color="auto" w:fill="auto"/>
            <w:noWrap/>
            <w:vAlign w:val="center"/>
          </w:tcPr>
          <w:p>
            <w:pPr>
              <w:widowControl/>
              <w:jc w:val="left"/>
              <w:rPr>
                <w:rFonts w:ascii="宋体" w:hAnsi="宋体" w:cs="宋体"/>
                <w:color w:val="000000"/>
                <w:kern w:val="0"/>
                <w:sz w:val="22"/>
              </w:rPr>
            </w:pPr>
          </w:p>
        </w:tc>
        <w:tc>
          <w:tcPr>
            <w:tcW w:w="992" w:type="dxa"/>
          </w:tcPr>
          <w:p>
            <w:pPr>
              <w:widowControl/>
              <w:jc w:val="right"/>
              <w:rPr>
                <w:rFonts w:ascii="宋体" w:hAnsi="宋体" w:cs="宋体"/>
                <w:color w:val="000000"/>
                <w:kern w:val="0"/>
                <w:sz w:val="22"/>
              </w:rPr>
            </w:pPr>
          </w:p>
        </w:tc>
        <w:tc>
          <w:tcPr>
            <w:tcW w:w="851" w:type="dxa"/>
          </w:tcPr>
          <w:p>
            <w:pPr>
              <w:widowControl/>
              <w:jc w:val="right"/>
              <w:rPr>
                <w:rFonts w:ascii="宋体" w:hAnsi="宋体" w:cs="宋体"/>
                <w:color w:val="000000"/>
                <w:kern w:val="0"/>
                <w:sz w:val="22"/>
              </w:rPr>
            </w:pPr>
          </w:p>
        </w:tc>
        <w:tc>
          <w:tcPr>
            <w:tcW w:w="992" w:type="dxa"/>
            <w:shd w:val="clear" w:color="auto" w:fill="auto"/>
            <w:noWrap/>
            <w:vAlign w:val="center"/>
          </w:tcPr>
          <w:p>
            <w:pPr>
              <w:widowControl/>
              <w:jc w:val="right"/>
              <w:rPr>
                <w:rFonts w:ascii="宋体" w:hAnsi="宋体" w:cs="宋体"/>
                <w:color w:val="000000"/>
                <w:kern w:val="0"/>
                <w:sz w:val="22"/>
              </w:rPr>
            </w:pPr>
          </w:p>
        </w:tc>
        <w:tc>
          <w:tcPr>
            <w:tcW w:w="1559" w:type="dxa"/>
            <w:shd w:val="clear" w:color="auto" w:fill="auto"/>
            <w:noWrap/>
            <w:vAlign w:val="center"/>
          </w:tcPr>
          <w:p>
            <w:pPr>
              <w:widowControl/>
              <w:jc w:val="left"/>
              <w:rPr>
                <w:rFonts w:ascii="宋体" w:hAnsi="宋体" w:cs="宋体"/>
                <w:color w:val="000000"/>
                <w:kern w:val="0"/>
                <w:sz w:val="22"/>
              </w:rPr>
            </w:pPr>
          </w:p>
        </w:tc>
      </w:tr>
    </w:tbl>
    <w:p>
      <w:pPr>
        <w:tabs>
          <w:tab w:val="left" w:pos="5295"/>
        </w:tabs>
        <w:rPr>
          <w:rFonts w:ascii="宋体" w:hAnsi="宋体" w:cs="宋体"/>
          <w:b/>
          <w:bCs/>
          <w:sz w:val="22"/>
        </w:rPr>
      </w:pPr>
    </w:p>
    <w:p>
      <w:pPr>
        <w:rPr>
          <w:rFonts w:ascii="宋体" w:hAnsi="宋体"/>
          <w:b/>
          <w:sz w:val="24"/>
          <w:szCs w:val="24"/>
        </w:rPr>
      </w:pPr>
      <w:r>
        <w:rPr>
          <w:rFonts w:hint="eastAsia" w:ascii="宋体" w:hAnsi="宋体"/>
          <w:b/>
          <w:sz w:val="24"/>
          <w:szCs w:val="24"/>
        </w:rPr>
        <w:t>四、项目报价 （元）</w:t>
      </w:r>
    </w:p>
    <w:p>
      <w:pPr>
        <w:autoSpaceDE w:val="0"/>
        <w:autoSpaceDN w:val="0"/>
        <w:adjustRightInd w:val="0"/>
        <w:spacing w:line="360" w:lineRule="auto"/>
        <w:outlineLvl w:val="0"/>
        <w:rPr>
          <w:rFonts w:ascii="宋体" w:hAnsi="宋体"/>
          <w:sz w:val="24"/>
          <w:szCs w:val="24"/>
        </w:rPr>
      </w:pPr>
      <w:r>
        <w:rPr>
          <w:rFonts w:hint="eastAsia" w:ascii="宋体" w:hAnsi="宋体"/>
          <w:sz w:val="24"/>
          <w:szCs w:val="24"/>
        </w:rPr>
        <w:t>1.软件需按需求模块分项报价</w:t>
      </w:r>
    </w:p>
    <w:p>
      <w:pPr>
        <w:autoSpaceDE w:val="0"/>
        <w:autoSpaceDN w:val="0"/>
        <w:adjustRightInd w:val="0"/>
        <w:spacing w:line="360" w:lineRule="auto"/>
        <w:rPr>
          <w:rFonts w:ascii="宋体" w:hAnsi="宋体"/>
          <w:sz w:val="24"/>
          <w:szCs w:val="24"/>
        </w:rPr>
      </w:pPr>
      <w:r>
        <w:rPr>
          <w:rFonts w:hint="eastAsia" w:ascii="宋体" w:hAnsi="宋体"/>
          <w:sz w:val="24"/>
          <w:szCs w:val="24"/>
        </w:rPr>
        <w:t>2.软件需求模块未列出而供应商认为满足建设目标要求下需要单独列出的报价项目，供应商可增加列出，并计入“报价总价”中。</w:t>
      </w:r>
    </w:p>
    <w:p>
      <w:pPr>
        <w:autoSpaceDE w:val="0"/>
        <w:autoSpaceDN w:val="0"/>
        <w:adjustRightInd w:val="0"/>
        <w:spacing w:line="360" w:lineRule="auto"/>
        <w:rPr>
          <w:rFonts w:hint="eastAsia" w:ascii="宋体" w:hAnsi="宋体"/>
          <w:sz w:val="24"/>
          <w:szCs w:val="24"/>
        </w:rPr>
      </w:pPr>
      <w:r>
        <w:rPr>
          <w:rFonts w:hint="eastAsia" w:ascii="宋体" w:hAnsi="宋体"/>
          <w:sz w:val="24"/>
          <w:szCs w:val="24"/>
        </w:rPr>
        <w:t>3.投标总价为货物（或服务）到达招标人现场并安装完毕调试验收合格的费用（包括所有接口及系统改造费用等，所有费用均计入合同总价中），请供应商充分调研院内系统现状后给出报价。</w:t>
      </w:r>
    </w:p>
    <w:p>
      <w:pPr>
        <w:autoSpaceDE w:val="0"/>
        <w:autoSpaceDN w:val="0"/>
        <w:adjustRightInd w:val="0"/>
        <w:spacing w:line="360" w:lineRule="auto"/>
        <w:rPr>
          <w:rFonts w:hint="eastAsia" w:ascii="宋体" w:hAnsi="宋体" w:eastAsiaTheme="minorEastAsia"/>
          <w:sz w:val="24"/>
          <w:szCs w:val="24"/>
          <w:lang w:val="en-US" w:eastAsia="zh-CN"/>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423D4"/>
    <w:multiLevelType w:val="multilevel"/>
    <w:tmpl w:val="03C423D4"/>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4B7C27A0"/>
    <w:multiLevelType w:val="multilevel"/>
    <w:tmpl w:val="4B7C27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ZGZiZDM0MTBlYTQ1MWZlN2VlYjAzNmU3NTFlYWQifQ=="/>
  </w:docVars>
  <w:rsids>
    <w:rsidRoot w:val="00931AE4"/>
    <w:rsid w:val="00011DA7"/>
    <w:rsid w:val="00032797"/>
    <w:rsid w:val="00070FC0"/>
    <w:rsid w:val="00075720"/>
    <w:rsid w:val="000A1387"/>
    <w:rsid w:val="000D6895"/>
    <w:rsid w:val="00155019"/>
    <w:rsid w:val="001955FD"/>
    <w:rsid w:val="001B35AD"/>
    <w:rsid w:val="001D3D1C"/>
    <w:rsid w:val="001F00C6"/>
    <w:rsid w:val="002809E3"/>
    <w:rsid w:val="00292BD9"/>
    <w:rsid w:val="002A0A5E"/>
    <w:rsid w:val="002C5BA6"/>
    <w:rsid w:val="002F1572"/>
    <w:rsid w:val="003144AD"/>
    <w:rsid w:val="0032468A"/>
    <w:rsid w:val="00335E8D"/>
    <w:rsid w:val="003613ED"/>
    <w:rsid w:val="003D6580"/>
    <w:rsid w:val="003E60A4"/>
    <w:rsid w:val="0044663E"/>
    <w:rsid w:val="0047590A"/>
    <w:rsid w:val="004C4CAB"/>
    <w:rsid w:val="00530C42"/>
    <w:rsid w:val="005E3DD1"/>
    <w:rsid w:val="005E66D2"/>
    <w:rsid w:val="00683420"/>
    <w:rsid w:val="006B318B"/>
    <w:rsid w:val="007A3901"/>
    <w:rsid w:val="007E750B"/>
    <w:rsid w:val="008366CE"/>
    <w:rsid w:val="008501B9"/>
    <w:rsid w:val="00854E94"/>
    <w:rsid w:val="008F3FD2"/>
    <w:rsid w:val="0090279A"/>
    <w:rsid w:val="00931AE4"/>
    <w:rsid w:val="00957471"/>
    <w:rsid w:val="00A316DF"/>
    <w:rsid w:val="00AA02F5"/>
    <w:rsid w:val="00AA3CBE"/>
    <w:rsid w:val="00B03F01"/>
    <w:rsid w:val="00B26A5E"/>
    <w:rsid w:val="00B47855"/>
    <w:rsid w:val="00BC1267"/>
    <w:rsid w:val="00D54A2E"/>
    <w:rsid w:val="00D91DE6"/>
    <w:rsid w:val="00E02F88"/>
    <w:rsid w:val="00E15CCA"/>
    <w:rsid w:val="00E643E1"/>
    <w:rsid w:val="00EF0805"/>
    <w:rsid w:val="0D6C5CAC"/>
    <w:rsid w:val="2B681BB7"/>
    <w:rsid w:val="36445786"/>
    <w:rsid w:val="42351F33"/>
    <w:rsid w:val="49F97003"/>
    <w:rsid w:val="4C0E5D99"/>
    <w:rsid w:val="6E0924C3"/>
    <w:rsid w:val="71C5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宋体" w:eastAsia="宋体"/>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link w:val="8"/>
    <w:qFormat/>
    <w:uiPriority w:val="0"/>
    <w:pPr>
      <w:ind w:firstLine="420" w:firstLineChars="200"/>
    </w:pPr>
    <w:rPr>
      <w:rFonts w:ascii="Calibri" w:hAnsi="Calibri" w:eastAsia="宋体" w:cs="Times New Roman"/>
    </w:rPr>
  </w:style>
  <w:style w:type="character" w:customStyle="1" w:styleId="8">
    <w:name w:val="列出段落 Char"/>
    <w:link w:val="7"/>
    <w:qFormat/>
    <w:uiPriority w:val="0"/>
    <w:rPr>
      <w:rFonts w:ascii="Calibri" w:hAnsi="Calibri" w:eastAsia="宋体" w:cs="Times New Roman"/>
    </w:rPr>
  </w:style>
  <w:style w:type="paragraph" w:customStyle="1" w:styleId="9">
    <w:name w:val="标准正文"/>
    <w:basedOn w:val="1"/>
    <w:qFormat/>
    <w:uiPriority w:val="0"/>
    <w:pPr>
      <w:widowControl/>
      <w:spacing w:line="360" w:lineRule="auto"/>
      <w:ind w:firstLine="200" w:firstLineChars="200"/>
    </w:pPr>
    <w:rPr>
      <w:rFonts w:ascii="Times New Roman" w:hAnsi="Times New Roman" w:eastAsia="宋体" w:cs="宋体"/>
      <w:bCs/>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文档结构图 Char"/>
    <w:basedOn w:val="6"/>
    <w:link w:val="2"/>
    <w:semiHidden/>
    <w:qFormat/>
    <w:uiPriority w:val="99"/>
    <w:rPr>
      <w:rFonts w:ascii="宋体" w:eastAsia="宋体"/>
      <w:sz w:val="18"/>
      <w:szCs w:val="18"/>
    </w:rPr>
  </w:style>
  <w:style w:type="paragraph" w:customStyle="1" w:styleId="13">
    <w:name w:val="Table Paragraph"/>
    <w:basedOn w:val="1"/>
    <w:qFormat/>
    <w:uiPriority w:val="1"/>
    <w:pPr>
      <w:spacing w:line="360" w:lineRule="auto"/>
      <w:ind w:left="57" w:firstLine="560"/>
      <w:jc w:val="left"/>
    </w:pPr>
    <w:rPr>
      <w:rFonts w:eastAsia="宋体" w:cs="Times New Roman" w:asciiTheme="minorHAnsi" w:hAnsiTheme="minorHAns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1884</Words>
  <Characters>1929</Characters>
  <Lines>17</Lines>
  <Paragraphs>4</Paragraphs>
  <TotalTime>39</TotalTime>
  <ScaleCrop>false</ScaleCrop>
  <LinksUpToDate>false</LinksUpToDate>
  <CharactersWithSpaces>1930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2021-12-08T01:45:00Z</dcterms:created>
  <dc:creator>xn</dc:creator>
  <cp:lastModifiedBy>ZLP</cp:lastModifiedBy>
  <cp:lastPrinted>2021-09-01T07:44:00Z</cp:lastPrinted>
  <dcterms:modified xsi:type="dcterms:W3CDTF">2023-06-09T08:14:03Z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85A1E24FC00C4EB4BE1044C3B8786F76_13</vt:lpwstr>
  </property>
</Properties>
</file>