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0" w:firstLineChars="400"/>
        <w:rPr>
          <w:sz w:val="80"/>
          <w:szCs w:val="80"/>
        </w:rPr>
      </w:pPr>
    </w:p>
    <w:p>
      <w:pPr>
        <w:ind w:firstLine="3200" w:firstLineChars="400"/>
        <w:rPr>
          <w:sz w:val="80"/>
          <w:szCs w:val="80"/>
        </w:rPr>
      </w:pPr>
    </w:p>
    <w:p>
      <w:pPr>
        <w:ind w:firstLine="3200" w:firstLineChars="400"/>
        <w:rPr>
          <w:rFonts w:eastAsia="黑体"/>
          <w:sz w:val="32"/>
          <w:szCs w:val="32"/>
        </w:rPr>
      </w:pPr>
      <w:r>
        <w:rPr>
          <w:rFonts w:hint="eastAsia"/>
          <w:sz w:val="80"/>
          <w:szCs w:val="80"/>
        </w:rPr>
        <w:t>采购文件</w:t>
      </w:r>
    </w:p>
    <w:p>
      <w:pPr>
        <w:rPr>
          <w:rFonts w:ascii="宋体" w:hAnsi="宋体"/>
          <w:bCs/>
          <w:sz w:val="48"/>
          <w:szCs w:val="48"/>
        </w:rPr>
      </w:pPr>
    </w:p>
    <w:p>
      <w:pPr>
        <w:rPr>
          <w:rFonts w:ascii="宋体" w:hAnsi="宋体"/>
          <w:bCs/>
          <w:sz w:val="48"/>
          <w:szCs w:val="48"/>
        </w:rPr>
      </w:pPr>
    </w:p>
    <w:p>
      <w:pPr>
        <w:ind w:firstLine="1285" w:firstLineChars="400"/>
        <w:rPr>
          <w:rFonts w:eastAsia="黑体"/>
          <w:b/>
          <w:bCs/>
          <w:sz w:val="32"/>
          <w:szCs w:val="22"/>
        </w:rPr>
      </w:pPr>
    </w:p>
    <w:p>
      <w:pPr>
        <w:ind w:firstLine="1285" w:firstLineChars="400"/>
        <w:rPr>
          <w:rFonts w:eastAsia="黑体"/>
          <w:b/>
          <w:bCs/>
          <w:sz w:val="32"/>
          <w:szCs w:val="22"/>
          <w:u w:val="single"/>
        </w:rPr>
      </w:pPr>
      <w:r>
        <w:rPr>
          <w:rFonts w:hint="eastAsia" w:eastAsia="黑体"/>
          <w:b/>
          <w:bCs/>
          <w:sz w:val="32"/>
          <w:szCs w:val="22"/>
        </w:rPr>
        <w:t>项目名称：</w:t>
      </w:r>
      <w:r>
        <w:rPr>
          <w:rFonts w:hint="eastAsia" w:eastAsia="黑体"/>
          <w:b/>
          <w:bCs/>
          <w:sz w:val="32"/>
          <w:szCs w:val="22"/>
          <w:u w:val="single"/>
        </w:rPr>
        <w:t xml:space="preserve"> 南昌大学附属口腔医院红谷滩新院沙盘制作项目 </w:t>
      </w:r>
    </w:p>
    <w:p>
      <w:pPr>
        <w:spacing w:line="480" w:lineRule="auto"/>
        <w:rPr>
          <w:rFonts w:eastAsia="黑体"/>
          <w:b/>
          <w:bCs/>
          <w:sz w:val="32"/>
        </w:rPr>
      </w:pPr>
    </w:p>
    <w:p>
      <w:pPr>
        <w:ind w:firstLine="1285" w:firstLineChars="400"/>
        <w:rPr>
          <w:rFonts w:eastAsia="黑体"/>
          <w:b/>
          <w:bCs/>
          <w:sz w:val="32"/>
          <w:szCs w:val="22"/>
        </w:rPr>
      </w:pPr>
      <w:r>
        <w:rPr>
          <w:rFonts w:hint="eastAsia" w:eastAsia="黑体"/>
          <w:b/>
          <w:bCs/>
          <w:sz w:val="32"/>
          <w:szCs w:val="22"/>
        </w:rPr>
        <w:t>项目编号：JXKQ202018</w:t>
      </w:r>
    </w:p>
    <w:p>
      <w:pPr>
        <w:spacing w:line="480" w:lineRule="auto"/>
        <w:ind w:firstLine="1263" w:firstLineChars="393"/>
        <w:rPr>
          <w:rFonts w:eastAsia="黑体"/>
          <w:b/>
          <w:bCs/>
          <w:sz w:val="32"/>
        </w:rPr>
      </w:pPr>
    </w:p>
    <w:p>
      <w:pPr>
        <w:spacing w:line="480" w:lineRule="auto"/>
        <w:rPr>
          <w:rFonts w:eastAsia="黑体"/>
          <w:sz w:val="48"/>
        </w:rPr>
      </w:pPr>
    </w:p>
    <w:p>
      <w:pPr>
        <w:pStyle w:val="2"/>
        <w:ind w:firstLine="960"/>
        <w:rPr>
          <w:rFonts w:eastAsia="黑体"/>
          <w:sz w:val="48"/>
        </w:rPr>
      </w:pPr>
    </w:p>
    <w:p>
      <w:pPr>
        <w:pStyle w:val="2"/>
        <w:ind w:firstLine="960"/>
        <w:rPr>
          <w:rFonts w:eastAsia="黑体"/>
          <w:sz w:val="48"/>
        </w:rPr>
      </w:pPr>
    </w:p>
    <w:p>
      <w:pPr>
        <w:pStyle w:val="2"/>
        <w:ind w:firstLine="960"/>
        <w:rPr>
          <w:rFonts w:eastAsia="黑体"/>
          <w:sz w:val="48"/>
        </w:rPr>
      </w:pPr>
    </w:p>
    <w:p>
      <w:pPr>
        <w:pStyle w:val="2"/>
        <w:ind w:firstLine="960"/>
        <w:rPr>
          <w:rFonts w:eastAsia="黑体"/>
          <w:sz w:val="48"/>
        </w:rPr>
      </w:pPr>
    </w:p>
    <w:p>
      <w:pPr>
        <w:spacing w:line="480" w:lineRule="auto"/>
        <w:jc w:val="center"/>
        <w:rPr>
          <w:rFonts w:ascii="宋体" w:hAnsi="宋体"/>
          <w:sz w:val="36"/>
        </w:rPr>
      </w:pPr>
      <w:r>
        <w:rPr>
          <w:rFonts w:hint="eastAsia" w:eastAsia="黑体"/>
          <w:sz w:val="32"/>
          <w:szCs w:val="22"/>
        </w:rPr>
        <w:t>南昌大学附属口腔医院</w:t>
      </w:r>
    </w:p>
    <w:p>
      <w:pPr>
        <w:spacing w:line="480" w:lineRule="auto"/>
        <w:jc w:val="center"/>
        <w:rPr>
          <w:rFonts w:ascii="宋体" w:hAnsi="宋体"/>
          <w:b/>
          <w:sz w:val="36"/>
          <w:szCs w:val="22"/>
        </w:rPr>
      </w:pPr>
      <w:r>
        <w:rPr>
          <w:rFonts w:hint="eastAsia" w:ascii="宋体" w:hAnsi="宋体"/>
          <w:b/>
          <w:sz w:val="36"/>
          <w:szCs w:val="22"/>
          <w:u w:val="single"/>
        </w:rPr>
        <w:t>2020</w:t>
      </w:r>
      <w:r>
        <w:rPr>
          <w:rFonts w:hint="eastAsia" w:ascii="宋体" w:hAnsi="宋体"/>
          <w:b/>
          <w:sz w:val="36"/>
          <w:szCs w:val="22"/>
        </w:rPr>
        <w:t>年</w:t>
      </w:r>
      <w:r>
        <w:rPr>
          <w:rFonts w:hint="eastAsia" w:ascii="宋体" w:hAnsi="宋体"/>
          <w:b/>
          <w:sz w:val="36"/>
          <w:szCs w:val="22"/>
          <w:u w:val="single"/>
        </w:rPr>
        <w:t xml:space="preserve"> 8 </w:t>
      </w:r>
      <w:r>
        <w:rPr>
          <w:rFonts w:hint="eastAsia" w:ascii="宋体" w:hAnsi="宋体"/>
          <w:b/>
          <w:sz w:val="36"/>
          <w:szCs w:val="22"/>
        </w:rPr>
        <w:t>月</w:t>
      </w:r>
      <w:r>
        <w:rPr>
          <w:rFonts w:hint="eastAsia" w:ascii="宋体" w:hAnsi="宋体"/>
          <w:b/>
          <w:sz w:val="36"/>
          <w:szCs w:val="22"/>
          <w:u w:val="single"/>
        </w:rPr>
        <w:t xml:space="preserve"> 12</w:t>
      </w:r>
      <w:r>
        <w:rPr>
          <w:rFonts w:hint="eastAsia" w:ascii="宋体" w:hAnsi="宋体"/>
          <w:b/>
          <w:sz w:val="36"/>
          <w:szCs w:val="22"/>
        </w:rPr>
        <w:t>日</w:t>
      </w:r>
    </w:p>
    <w:p>
      <w:pPr>
        <w:adjustRightInd w:val="0"/>
        <w:snapToGrid w:val="0"/>
        <w:spacing w:line="560" w:lineRule="exact"/>
        <w:ind w:left="-2" w:firstLine="538"/>
        <w:jc w:val="center"/>
        <w:rPr>
          <w:rFonts w:ascii="宋体" w:hAnsi="宋体"/>
          <w:bCs/>
          <w:sz w:val="52"/>
        </w:rPr>
      </w:pPr>
    </w:p>
    <w:p>
      <w:pPr>
        <w:adjustRightInd w:val="0"/>
        <w:snapToGrid w:val="0"/>
        <w:spacing w:line="560" w:lineRule="exact"/>
        <w:ind w:left="-2" w:firstLine="538"/>
        <w:jc w:val="center"/>
        <w:rPr>
          <w:rFonts w:ascii="宋体" w:hAnsi="宋体"/>
          <w:bCs/>
          <w:sz w:val="52"/>
        </w:rPr>
      </w:pPr>
    </w:p>
    <w:p>
      <w:pPr>
        <w:pStyle w:val="2"/>
      </w:pPr>
    </w:p>
    <w:p>
      <w:pPr>
        <w:pStyle w:val="2"/>
      </w:pPr>
    </w:p>
    <w:p>
      <w:pPr>
        <w:adjustRightInd w:val="0"/>
        <w:snapToGrid w:val="0"/>
        <w:spacing w:line="560" w:lineRule="exact"/>
        <w:ind w:left="-2" w:firstLine="538"/>
        <w:jc w:val="center"/>
        <w:rPr>
          <w:rFonts w:ascii="宋体" w:hAnsi="宋体"/>
          <w:bCs/>
          <w:sz w:val="52"/>
        </w:rPr>
      </w:pPr>
    </w:p>
    <w:p>
      <w:pPr>
        <w:adjustRightInd w:val="0"/>
        <w:snapToGrid w:val="0"/>
        <w:spacing w:line="560" w:lineRule="exact"/>
        <w:ind w:left="-2" w:firstLine="538"/>
        <w:jc w:val="center"/>
        <w:rPr>
          <w:rFonts w:ascii="宋体" w:hAnsi="宋体"/>
          <w:bCs/>
          <w:sz w:val="52"/>
        </w:rPr>
      </w:pPr>
    </w:p>
    <w:p>
      <w:pPr>
        <w:adjustRightInd w:val="0"/>
        <w:snapToGrid w:val="0"/>
        <w:spacing w:line="560" w:lineRule="exact"/>
        <w:ind w:left="-2" w:firstLine="538"/>
        <w:jc w:val="center"/>
        <w:rPr>
          <w:rFonts w:ascii="宋体" w:hAnsi="宋体"/>
          <w:bCs/>
          <w:sz w:val="52"/>
        </w:rPr>
      </w:pPr>
    </w:p>
    <w:p>
      <w:pPr>
        <w:adjustRightInd w:val="0"/>
        <w:snapToGrid w:val="0"/>
        <w:spacing w:line="560" w:lineRule="exact"/>
        <w:ind w:left="-2" w:firstLine="538"/>
        <w:jc w:val="center"/>
        <w:rPr>
          <w:rFonts w:ascii="宋体" w:hAnsi="宋体"/>
          <w:bCs/>
          <w:sz w:val="52"/>
        </w:rPr>
      </w:pPr>
      <w:r>
        <w:rPr>
          <w:rFonts w:hint="eastAsia" w:ascii="宋体" w:hAnsi="宋体"/>
          <w:bCs/>
          <w:sz w:val="52"/>
        </w:rPr>
        <w:t>目录</w:t>
      </w:r>
    </w:p>
    <w:p>
      <w:pPr>
        <w:pStyle w:val="14"/>
        <w:tabs>
          <w:tab w:val="left" w:pos="1260"/>
        </w:tabs>
        <w:ind w:firstLine="372"/>
        <w:rPr>
          <w:rFonts w:asciiTheme="minorHAnsi" w:hAnsiTheme="minorHAnsi" w:eastAsiaTheme="minorEastAsia" w:cstheme="minorBidi"/>
          <w:szCs w:val="22"/>
        </w:rPr>
      </w:pPr>
      <w:r>
        <w:fldChar w:fldCharType="begin"/>
      </w:r>
      <w:r>
        <w:rPr>
          <w:rStyle w:val="19"/>
          <w:rFonts w:hint="eastAsia"/>
          <w:color w:val="auto"/>
        </w:rPr>
        <w:instrText xml:space="preserve">TOC \o "1-3" \h \z \u</w:instrText>
      </w:r>
      <w:r>
        <w:fldChar w:fldCharType="separate"/>
      </w:r>
      <w:r>
        <w:fldChar w:fldCharType="begin"/>
      </w:r>
      <w:r>
        <w:instrText xml:space="preserve"> HYPERLINK \l "_Toc48722650" </w:instrText>
      </w:r>
      <w:r>
        <w:fldChar w:fldCharType="separate"/>
      </w:r>
      <w:r>
        <w:rPr>
          <w:rStyle w:val="19"/>
          <w:rFonts w:hint="eastAsia" w:eastAsia="仿宋_GB2312"/>
          <w:b/>
          <w:bCs/>
        </w:rPr>
        <w:t>第一章</w:t>
      </w:r>
      <w:r>
        <w:rPr>
          <w:rFonts w:asciiTheme="minorHAnsi" w:hAnsiTheme="minorHAnsi" w:eastAsiaTheme="minorEastAsia" w:cstheme="minorBidi"/>
          <w:szCs w:val="22"/>
        </w:rPr>
        <w:tab/>
      </w:r>
      <w:r>
        <w:rPr>
          <w:rStyle w:val="19"/>
          <w:rFonts w:hint="eastAsia" w:eastAsia="仿宋_GB2312"/>
          <w:b/>
          <w:bCs/>
        </w:rPr>
        <w:t>磋商邀请</w:t>
      </w:r>
      <w:r>
        <w:tab/>
      </w:r>
      <w:r>
        <w:fldChar w:fldCharType="begin"/>
      </w:r>
      <w:r>
        <w:instrText xml:space="preserve"> PAGEREF _Toc48722650 \h </w:instrText>
      </w:r>
      <w:r>
        <w:fldChar w:fldCharType="separate"/>
      </w:r>
      <w:r>
        <w:t>2</w:t>
      </w:r>
      <w:r>
        <w:fldChar w:fldCharType="end"/>
      </w:r>
      <w:r>
        <w:fldChar w:fldCharType="end"/>
      </w:r>
    </w:p>
    <w:p>
      <w:pPr>
        <w:pStyle w:val="14"/>
        <w:ind w:firstLine="372"/>
        <w:rPr>
          <w:rFonts w:asciiTheme="minorHAnsi" w:hAnsiTheme="minorHAnsi" w:eastAsiaTheme="minorEastAsia" w:cstheme="minorBidi"/>
          <w:szCs w:val="22"/>
        </w:rPr>
      </w:pPr>
      <w:r>
        <w:fldChar w:fldCharType="begin"/>
      </w:r>
      <w:r>
        <w:instrText xml:space="preserve"> HYPERLINK \l "_Toc48722651" </w:instrText>
      </w:r>
      <w:r>
        <w:fldChar w:fldCharType="separate"/>
      </w:r>
      <w:r>
        <w:rPr>
          <w:rStyle w:val="19"/>
          <w:rFonts w:hint="eastAsia" w:eastAsia="仿宋_GB2312"/>
          <w:b/>
          <w:bCs/>
        </w:rPr>
        <w:t>第二章</w:t>
      </w:r>
      <w:r>
        <w:rPr>
          <w:rStyle w:val="19"/>
          <w:rFonts w:eastAsia="仿宋_GB2312"/>
          <w:b/>
          <w:bCs/>
        </w:rPr>
        <w:t xml:space="preserve"> </w:t>
      </w:r>
      <w:r>
        <w:rPr>
          <w:rStyle w:val="19"/>
          <w:rFonts w:hint="eastAsia" w:eastAsia="仿宋_GB2312"/>
          <w:b/>
          <w:bCs/>
        </w:rPr>
        <w:t>供应商须知</w:t>
      </w:r>
      <w:r>
        <w:tab/>
      </w:r>
      <w:r>
        <w:fldChar w:fldCharType="begin"/>
      </w:r>
      <w:r>
        <w:instrText xml:space="preserve"> PAGEREF _Toc48722651 \h </w:instrText>
      </w:r>
      <w:r>
        <w:fldChar w:fldCharType="separate"/>
      </w:r>
      <w:r>
        <w:t>3</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"_Toc48722652" </w:instrText>
      </w:r>
      <w:r>
        <w:fldChar w:fldCharType="separate"/>
      </w:r>
      <w:r>
        <w:rPr>
          <w:rStyle w:val="19"/>
          <w:rFonts w:hint="eastAsia" w:ascii="宋体" w:hAnsi="宋体"/>
        </w:rPr>
        <w:t>一、</w:t>
      </w:r>
      <w:r>
        <w:rPr>
          <w:rFonts w:asciiTheme="minorHAnsi" w:hAnsiTheme="minorHAnsi" w:eastAsiaTheme="minorEastAsia" w:cstheme="minorBidi"/>
          <w:szCs w:val="22"/>
        </w:rPr>
        <w:tab/>
      </w:r>
      <w:r>
        <w:rPr>
          <w:rStyle w:val="19"/>
          <w:rFonts w:hint="eastAsia" w:ascii="宋体" w:hAnsi="宋体"/>
        </w:rPr>
        <w:t>供应商须知前附表</w:t>
      </w:r>
      <w:r>
        <w:tab/>
      </w:r>
      <w:r>
        <w:fldChar w:fldCharType="begin"/>
      </w:r>
      <w:r>
        <w:instrText xml:space="preserve"> PAGEREF _Toc48722652 \h </w:instrText>
      </w:r>
      <w:r>
        <w:fldChar w:fldCharType="separate"/>
      </w:r>
      <w:r>
        <w:t>3</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"_Toc48722653" </w:instrText>
      </w:r>
      <w:r>
        <w:fldChar w:fldCharType="separate"/>
      </w:r>
      <w:r>
        <w:rPr>
          <w:rStyle w:val="19"/>
          <w:rFonts w:hint="eastAsia" w:ascii="宋体" w:hAnsi="宋体"/>
        </w:rPr>
        <w:t>二、说明</w:t>
      </w:r>
      <w:r>
        <w:tab/>
      </w:r>
      <w:r>
        <w:fldChar w:fldCharType="begin"/>
      </w:r>
      <w:r>
        <w:instrText xml:space="preserve"> PAGEREF _Toc48722653 \h </w:instrText>
      </w:r>
      <w:r>
        <w:fldChar w:fldCharType="separate"/>
      </w:r>
      <w:r>
        <w:t>4</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"_Toc48722654" </w:instrText>
      </w:r>
      <w:r>
        <w:fldChar w:fldCharType="separate"/>
      </w:r>
      <w:r>
        <w:rPr>
          <w:rStyle w:val="19"/>
          <w:rFonts w:hint="eastAsia" w:ascii="宋体" w:hAnsi="宋体"/>
        </w:rPr>
        <w:t>三、</w:t>
      </w:r>
      <w:r>
        <w:rPr>
          <w:rFonts w:asciiTheme="minorHAnsi" w:hAnsiTheme="minorHAnsi" w:eastAsiaTheme="minorEastAsia" w:cstheme="minorBidi"/>
          <w:szCs w:val="22"/>
        </w:rPr>
        <w:tab/>
      </w:r>
      <w:r>
        <w:rPr>
          <w:rStyle w:val="19"/>
          <w:rFonts w:hint="eastAsia" w:ascii="宋体" w:hAnsi="宋体"/>
        </w:rPr>
        <w:t>商务条款</w:t>
      </w:r>
      <w:r>
        <w:tab/>
      </w:r>
      <w:r>
        <w:fldChar w:fldCharType="begin"/>
      </w:r>
      <w:r>
        <w:instrText xml:space="preserve"> PAGEREF _Toc48722654 \h </w:instrText>
      </w:r>
      <w:r>
        <w:fldChar w:fldCharType="separate"/>
      </w:r>
      <w:r>
        <w:t>5</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"_Toc48722655" </w:instrText>
      </w:r>
      <w:r>
        <w:fldChar w:fldCharType="separate"/>
      </w:r>
      <w:r>
        <w:rPr>
          <w:rStyle w:val="19"/>
          <w:rFonts w:hint="eastAsia" w:ascii="宋体" w:hAnsi="宋体"/>
        </w:rPr>
        <w:t>四、</w:t>
      </w:r>
      <w:r>
        <w:rPr>
          <w:rFonts w:asciiTheme="minorHAnsi" w:hAnsiTheme="minorHAnsi" w:eastAsiaTheme="minorEastAsia" w:cstheme="minorBidi"/>
          <w:szCs w:val="22"/>
        </w:rPr>
        <w:tab/>
      </w:r>
      <w:r>
        <w:rPr>
          <w:rStyle w:val="19"/>
          <w:rFonts w:hint="eastAsia" w:ascii="宋体" w:hAnsi="宋体"/>
        </w:rPr>
        <w:t>磋商文件</w:t>
      </w:r>
      <w:r>
        <w:tab/>
      </w:r>
      <w:r>
        <w:fldChar w:fldCharType="begin"/>
      </w:r>
      <w:r>
        <w:instrText xml:space="preserve"> PAGEREF _Toc48722655 \h </w:instrText>
      </w:r>
      <w:r>
        <w:fldChar w:fldCharType="separate"/>
      </w:r>
      <w:r>
        <w:t>6</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"_Toc48722656" </w:instrText>
      </w:r>
      <w:r>
        <w:fldChar w:fldCharType="separate"/>
      </w:r>
      <w:r>
        <w:rPr>
          <w:rStyle w:val="19"/>
          <w:rFonts w:hint="eastAsia" w:ascii="宋体" w:hAnsi="宋体"/>
        </w:rPr>
        <w:t>五、</w:t>
      </w:r>
      <w:r>
        <w:rPr>
          <w:rFonts w:asciiTheme="minorHAnsi" w:hAnsiTheme="minorHAnsi" w:eastAsiaTheme="minorEastAsia" w:cstheme="minorBidi"/>
          <w:szCs w:val="22"/>
        </w:rPr>
        <w:tab/>
      </w:r>
      <w:r>
        <w:rPr>
          <w:rStyle w:val="19"/>
          <w:rFonts w:hint="eastAsia" w:ascii="宋体" w:hAnsi="宋体"/>
        </w:rPr>
        <w:t>响应文件的编制</w:t>
      </w:r>
      <w:r>
        <w:tab/>
      </w:r>
      <w:r>
        <w:fldChar w:fldCharType="begin"/>
      </w:r>
      <w:r>
        <w:instrText xml:space="preserve"> PAGEREF _Toc48722656 \h </w:instrText>
      </w:r>
      <w:r>
        <w:fldChar w:fldCharType="separate"/>
      </w:r>
      <w:r>
        <w:t>7</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"_Toc48722657" </w:instrText>
      </w:r>
      <w:r>
        <w:fldChar w:fldCharType="separate"/>
      </w:r>
      <w:r>
        <w:rPr>
          <w:rStyle w:val="19"/>
          <w:rFonts w:hint="eastAsia" w:ascii="宋体" w:hAnsi="宋体"/>
        </w:rPr>
        <w:t>六、响应文件的递交</w:t>
      </w:r>
      <w:r>
        <w:tab/>
      </w:r>
      <w:r>
        <w:fldChar w:fldCharType="begin"/>
      </w:r>
      <w:r>
        <w:instrText xml:space="preserve"> PAGEREF _Toc48722657 \h </w:instrText>
      </w:r>
      <w:r>
        <w:fldChar w:fldCharType="separate"/>
      </w:r>
      <w:r>
        <w:t>8</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"_Toc48722658" </w:instrText>
      </w:r>
      <w:r>
        <w:fldChar w:fldCharType="separate"/>
      </w:r>
      <w:r>
        <w:rPr>
          <w:rStyle w:val="19"/>
          <w:rFonts w:hint="eastAsia" w:ascii="宋体" w:hAnsi="宋体"/>
        </w:rPr>
        <w:t>七、磋商</w:t>
      </w:r>
      <w:r>
        <w:tab/>
      </w:r>
      <w:r>
        <w:fldChar w:fldCharType="begin"/>
      </w:r>
      <w:r>
        <w:instrText xml:space="preserve"> PAGEREF _Toc48722658 \h </w:instrText>
      </w:r>
      <w:r>
        <w:fldChar w:fldCharType="separate"/>
      </w:r>
      <w:r>
        <w:t>8</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"_Toc48722659" </w:instrText>
      </w:r>
      <w:r>
        <w:fldChar w:fldCharType="separate"/>
      </w:r>
      <w:r>
        <w:rPr>
          <w:rStyle w:val="19"/>
          <w:rFonts w:hint="eastAsia" w:ascii="宋体" w:hAnsi="宋体" w:cs="宋体"/>
        </w:rPr>
        <w:t>八、定标</w:t>
      </w:r>
      <w:r>
        <w:tab/>
      </w:r>
      <w:r>
        <w:fldChar w:fldCharType="begin"/>
      </w:r>
      <w:r>
        <w:instrText xml:space="preserve"> PAGEREF _Toc48722659 \h </w:instrText>
      </w:r>
      <w:r>
        <w:fldChar w:fldCharType="separate"/>
      </w:r>
      <w:r>
        <w:t>9</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"_Toc48722660" </w:instrText>
      </w:r>
      <w:r>
        <w:fldChar w:fldCharType="separate"/>
      </w:r>
      <w:r>
        <w:rPr>
          <w:rStyle w:val="19"/>
          <w:rFonts w:hint="eastAsia" w:ascii="宋体" w:hAnsi="宋体" w:cs="宋体"/>
        </w:rPr>
        <w:t>综合分数最高者中标。</w:t>
      </w:r>
      <w:r>
        <w:tab/>
      </w:r>
      <w:r>
        <w:fldChar w:fldCharType="begin"/>
      </w:r>
      <w:r>
        <w:instrText xml:space="preserve"> PAGEREF _Toc48722660 \h </w:instrText>
      </w:r>
      <w:r>
        <w:fldChar w:fldCharType="separate"/>
      </w:r>
      <w:r>
        <w:t>9</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"_Toc48722661" </w:instrText>
      </w:r>
      <w:r>
        <w:fldChar w:fldCharType="separate"/>
      </w:r>
      <w:r>
        <w:rPr>
          <w:rStyle w:val="19"/>
          <w:rFonts w:hint="eastAsia" w:ascii="宋体" w:hAnsi="宋体"/>
        </w:rPr>
        <w:t>九、推荐成交候选供应商、确定成交供应商</w:t>
      </w:r>
      <w:r>
        <w:tab/>
      </w:r>
      <w:r>
        <w:fldChar w:fldCharType="begin"/>
      </w:r>
      <w:r>
        <w:instrText xml:space="preserve"> PAGEREF _Toc48722661 \h </w:instrText>
      </w:r>
      <w:r>
        <w:fldChar w:fldCharType="separate"/>
      </w:r>
      <w:r>
        <w:t>12</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"_Toc48722662" </w:instrText>
      </w:r>
      <w:r>
        <w:fldChar w:fldCharType="separate"/>
      </w:r>
      <w:r>
        <w:rPr>
          <w:rStyle w:val="19"/>
          <w:rFonts w:hint="eastAsia" w:ascii="宋体" w:hAnsi="宋体"/>
        </w:rPr>
        <w:t>十、成交结果公告、成交通知书</w:t>
      </w:r>
      <w:r>
        <w:tab/>
      </w:r>
      <w:r>
        <w:fldChar w:fldCharType="begin"/>
      </w:r>
      <w:r>
        <w:instrText xml:space="preserve"> PAGEREF _Toc48722662 \h </w:instrText>
      </w:r>
      <w:r>
        <w:fldChar w:fldCharType="separate"/>
      </w:r>
      <w:r>
        <w:t>12</w:t>
      </w:r>
      <w:r>
        <w:fldChar w:fldCharType="end"/>
      </w:r>
      <w:r>
        <w:fldChar w:fldCharType="end"/>
      </w:r>
    </w:p>
    <w:p>
      <w:pPr>
        <w:pStyle w:val="14"/>
        <w:ind w:firstLine="372"/>
        <w:rPr>
          <w:rFonts w:asciiTheme="minorHAnsi" w:hAnsiTheme="minorHAnsi" w:eastAsiaTheme="minorEastAsia" w:cstheme="minorBidi"/>
          <w:szCs w:val="22"/>
        </w:rPr>
      </w:pPr>
      <w:r>
        <w:fldChar w:fldCharType="begin"/>
      </w:r>
      <w:r>
        <w:instrText xml:space="preserve"> HYPERLINK \l "_Toc48722663" </w:instrText>
      </w:r>
      <w:r>
        <w:fldChar w:fldCharType="separate"/>
      </w:r>
      <w:r>
        <w:rPr>
          <w:rStyle w:val="19"/>
          <w:rFonts w:hint="eastAsia" w:eastAsia="仿宋_GB2312"/>
          <w:b/>
          <w:bCs/>
        </w:rPr>
        <w:t>第三章　</w:t>
      </w:r>
      <w:r>
        <w:rPr>
          <w:rStyle w:val="19"/>
          <w:rFonts w:hint="eastAsia"/>
          <w:b/>
        </w:rPr>
        <w:t>拟签订的合同文本</w:t>
      </w:r>
      <w:r>
        <w:tab/>
      </w:r>
      <w:r>
        <w:fldChar w:fldCharType="begin"/>
      </w:r>
      <w:r>
        <w:instrText xml:space="preserve"> PAGEREF _Toc48722663 \h </w:instrText>
      </w:r>
      <w:r>
        <w:fldChar w:fldCharType="separate"/>
      </w:r>
      <w:r>
        <w:t>13</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"_Toc48722664" </w:instrText>
      </w:r>
      <w:r>
        <w:fldChar w:fldCharType="separate"/>
      </w:r>
      <w:r>
        <w:rPr>
          <w:rStyle w:val="19"/>
          <w:rFonts w:hint="eastAsia" w:ascii="宋体" w:hAnsi="宋体"/>
          <w:b/>
        </w:rPr>
        <w:t>沙盘制作采购合同</w:t>
      </w:r>
      <w:r>
        <w:tab/>
      </w:r>
      <w:r>
        <w:fldChar w:fldCharType="begin"/>
      </w:r>
      <w:r>
        <w:instrText xml:space="preserve"> PAGEREF _Toc48722664 \h </w:instrText>
      </w:r>
      <w:r>
        <w:fldChar w:fldCharType="separate"/>
      </w:r>
      <w:r>
        <w:t>13</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"_Toc48722665" </w:instrText>
      </w:r>
      <w:r>
        <w:fldChar w:fldCharType="separate"/>
      </w:r>
      <w:r>
        <w:rPr>
          <w:rStyle w:val="19"/>
          <w:rFonts w:hint="eastAsia" w:hAnsi="宋体"/>
          <w:b/>
          <w:bCs/>
        </w:rPr>
        <w:t>附件三</w:t>
      </w:r>
      <w:r>
        <w:rPr>
          <w:rStyle w:val="19"/>
          <w:rFonts w:hAnsi="宋体"/>
          <w:b/>
          <w:bCs/>
        </w:rPr>
        <w:t xml:space="preserve"> </w:t>
      </w:r>
      <w:r>
        <w:rPr>
          <w:rStyle w:val="19"/>
          <w:rFonts w:hint="eastAsia" w:hAnsi="宋体"/>
          <w:b/>
          <w:bCs/>
        </w:rPr>
        <w:t>安全管理协议书</w:t>
      </w:r>
      <w:r>
        <w:tab/>
      </w:r>
      <w:r>
        <w:fldChar w:fldCharType="begin"/>
      </w:r>
      <w:r>
        <w:instrText xml:space="preserve"> PAGEREF _Toc48722665 \h </w:instrText>
      </w:r>
      <w:r>
        <w:fldChar w:fldCharType="separate"/>
      </w:r>
      <w:r>
        <w:t>19</w:t>
      </w:r>
      <w:r>
        <w:fldChar w:fldCharType="end"/>
      </w:r>
      <w:r>
        <w:fldChar w:fldCharType="end"/>
      </w:r>
    </w:p>
    <w:p>
      <w:pPr>
        <w:pStyle w:val="14"/>
        <w:ind w:firstLine="372"/>
        <w:rPr>
          <w:rFonts w:asciiTheme="minorHAnsi" w:hAnsiTheme="minorHAnsi" w:eastAsiaTheme="minorEastAsia" w:cstheme="minorBidi"/>
          <w:szCs w:val="22"/>
        </w:rPr>
      </w:pPr>
      <w:r>
        <w:fldChar w:fldCharType="begin"/>
      </w:r>
      <w:r>
        <w:instrText xml:space="preserve"> HYPERLINK \l "_Toc48722666" </w:instrText>
      </w:r>
      <w:r>
        <w:fldChar w:fldCharType="separate"/>
      </w:r>
      <w:r>
        <w:rPr>
          <w:rStyle w:val="19"/>
          <w:rFonts w:hint="eastAsia" w:eastAsia="仿宋_GB2312"/>
          <w:b/>
          <w:bCs/>
        </w:rPr>
        <w:t>第四章响应文件格式</w:t>
      </w:r>
      <w:r>
        <w:tab/>
      </w:r>
      <w:r>
        <w:fldChar w:fldCharType="begin"/>
      </w:r>
      <w:r>
        <w:instrText xml:space="preserve"> PAGEREF _Toc48722666 \h </w:instrText>
      </w:r>
      <w:r>
        <w:fldChar w:fldCharType="separate"/>
      </w:r>
      <w:r>
        <w:t>24</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"_Toc48722667" </w:instrText>
      </w:r>
      <w:r>
        <w:fldChar w:fldCharType="separate"/>
      </w:r>
      <w:r>
        <w:rPr>
          <w:rStyle w:val="19"/>
          <w:rFonts w:hint="eastAsia" w:ascii="宋体" w:hAnsi="宋体"/>
        </w:rPr>
        <w:t>格式</w:t>
      </w:r>
      <w:r>
        <w:rPr>
          <w:rStyle w:val="19"/>
          <w:rFonts w:ascii="宋体" w:hAnsi="宋体"/>
        </w:rPr>
        <w:t xml:space="preserve">1. </w:t>
      </w:r>
      <w:r>
        <w:rPr>
          <w:rStyle w:val="19"/>
          <w:rFonts w:hint="eastAsia" w:ascii="宋体" w:hAnsi="宋体"/>
        </w:rPr>
        <w:t>磋商响应书</w:t>
      </w:r>
      <w:r>
        <w:tab/>
      </w:r>
      <w:r>
        <w:fldChar w:fldCharType="begin"/>
      </w:r>
      <w:r>
        <w:instrText xml:space="preserve"> PAGEREF _Toc48722667 \h </w:instrText>
      </w:r>
      <w:r>
        <w:fldChar w:fldCharType="separate"/>
      </w:r>
      <w:r>
        <w:t>25</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"_Toc48722668" </w:instrText>
      </w:r>
      <w:r>
        <w:fldChar w:fldCharType="separate"/>
      </w:r>
      <w:r>
        <w:rPr>
          <w:rStyle w:val="19"/>
          <w:rFonts w:hint="eastAsia" w:ascii="宋体" w:hAnsi="宋体"/>
        </w:rPr>
        <w:t>格式</w:t>
      </w:r>
      <w:r>
        <w:rPr>
          <w:rStyle w:val="19"/>
          <w:rFonts w:ascii="宋体" w:hAnsi="宋体"/>
        </w:rPr>
        <w:t>2</w:t>
      </w:r>
      <w:r>
        <w:rPr>
          <w:rStyle w:val="19"/>
          <w:rFonts w:hint="eastAsia" w:ascii="宋体" w:hAnsi="宋体"/>
        </w:rPr>
        <w:t>．报价表</w:t>
      </w:r>
      <w:r>
        <w:tab/>
      </w:r>
      <w:r>
        <w:fldChar w:fldCharType="begin"/>
      </w:r>
      <w:r>
        <w:instrText xml:space="preserve"> PAGEREF _Toc48722668 \h </w:instrText>
      </w:r>
      <w:r>
        <w:fldChar w:fldCharType="separate"/>
      </w:r>
      <w:r>
        <w:t>26</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"_Toc48722669" </w:instrText>
      </w:r>
      <w:r>
        <w:fldChar w:fldCharType="separate"/>
      </w:r>
      <w:r>
        <w:rPr>
          <w:rStyle w:val="19"/>
          <w:rFonts w:hint="eastAsia" w:ascii="宋体" w:hAnsi="宋体"/>
        </w:rPr>
        <w:t>格式</w:t>
      </w:r>
      <w:r>
        <w:rPr>
          <w:rStyle w:val="19"/>
          <w:rFonts w:ascii="宋体" w:hAnsi="宋体"/>
        </w:rPr>
        <w:t>2-1</w:t>
      </w:r>
      <w:r>
        <w:rPr>
          <w:rStyle w:val="19"/>
          <w:rFonts w:hint="eastAsia" w:ascii="宋体" w:hAnsi="宋体"/>
        </w:rPr>
        <w:t>．分项报价表</w:t>
      </w:r>
      <w:r>
        <w:tab/>
      </w:r>
      <w:r>
        <w:fldChar w:fldCharType="begin"/>
      </w:r>
      <w:r>
        <w:instrText xml:space="preserve"> PAGEREF _Toc48722669 \h </w:instrText>
      </w:r>
      <w:r>
        <w:fldChar w:fldCharType="separate"/>
      </w:r>
      <w:r>
        <w:t>27</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"_Toc48722670" </w:instrText>
      </w:r>
      <w:r>
        <w:fldChar w:fldCharType="separate"/>
      </w:r>
      <w:r>
        <w:rPr>
          <w:rStyle w:val="19"/>
          <w:rFonts w:hint="eastAsia" w:ascii="宋体" w:hAnsi="宋体"/>
        </w:rPr>
        <w:t>格式</w:t>
      </w:r>
      <w:r>
        <w:rPr>
          <w:rStyle w:val="19"/>
          <w:rFonts w:ascii="宋体" w:hAnsi="宋体"/>
        </w:rPr>
        <w:t xml:space="preserve">3. </w:t>
      </w:r>
      <w:r>
        <w:rPr>
          <w:rStyle w:val="19"/>
          <w:rFonts w:hint="eastAsia" w:ascii="宋体" w:hAnsi="宋体"/>
        </w:rPr>
        <w:t>商务条款响应</w:t>
      </w:r>
      <w:r>
        <w:rPr>
          <w:rStyle w:val="19"/>
          <w:rFonts w:ascii="宋体" w:hAnsi="宋体"/>
        </w:rPr>
        <w:t>/</w:t>
      </w:r>
      <w:r>
        <w:rPr>
          <w:rStyle w:val="19"/>
          <w:rFonts w:hint="eastAsia" w:ascii="宋体" w:hAnsi="宋体"/>
        </w:rPr>
        <w:t>偏离表</w:t>
      </w:r>
      <w:r>
        <w:tab/>
      </w:r>
      <w:r>
        <w:fldChar w:fldCharType="begin"/>
      </w:r>
      <w:r>
        <w:instrText xml:space="preserve"> PAGEREF _Toc48722670 \h </w:instrText>
      </w:r>
      <w:r>
        <w:fldChar w:fldCharType="separate"/>
      </w:r>
      <w:r>
        <w:t>28</w:t>
      </w:r>
      <w:r>
        <w:fldChar w:fldCharType="end"/>
      </w:r>
      <w:r>
        <w:fldChar w:fldCharType="end"/>
      </w:r>
    </w:p>
    <w:p>
      <w:pPr>
        <w:pStyle w:val="8"/>
        <w:rPr>
          <w:rFonts w:asciiTheme="minorHAnsi" w:hAnsiTheme="minorHAnsi" w:eastAsiaTheme="minorEastAsia" w:cstheme="minorBidi"/>
          <w:szCs w:val="22"/>
        </w:rPr>
      </w:pPr>
      <w:r>
        <w:fldChar w:fldCharType="begin"/>
      </w:r>
      <w:r>
        <w:instrText xml:space="preserve"> HYPERLINK \l "_Toc48722671" </w:instrText>
      </w:r>
      <w:r>
        <w:fldChar w:fldCharType="separate"/>
      </w:r>
      <w:r>
        <w:rPr>
          <w:rStyle w:val="19"/>
          <w:rFonts w:hint="eastAsia" w:ascii="宋体" w:hAnsi="宋体"/>
        </w:rPr>
        <w:t>格式</w:t>
      </w:r>
      <w:r>
        <w:rPr>
          <w:rStyle w:val="19"/>
          <w:rFonts w:hAnsi="宋体" w:cs="宋体"/>
        </w:rPr>
        <w:t>4</w:t>
      </w:r>
      <w:r>
        <w:rPr>
          <w:rStyle w:val="19"/>
          <w:rFonts w:hint="eastAsia" w:hAnsi="宋体" w:cs="宋体"/>
        </w:rPr>
        <w:t>．供应商的资格声明</w:t>
      </w:r>
      <w:r>
        <w:rPr>
          <w:rStyle w:val="19"/>
          <w:rFonts w:hAnsi="宋体" w:cs="宋体"/>
        </w:rPr>
        <w:t>*</w:t>
      </w:r>
      <w:r>
        <w:rPr>
          <w:rStyle w:val="19"/>
          <w:rFonts w:hAnsi="宋体" w:cs="宋体"/>
        </w:rPr>
        <w:tab/>
      </w:r>
      <w:r>
        <w:fldChar w:fldCharType="begin"/>
      </w:r>
      <w:r>
        <w:instrText xml:space="preserve"> PAGEREF _Toc48722671 \h </w:instrText>
      </w:r>
      <w:r>
        <w:fldChar w:fldCharType="separate"/>
      </w:r>
      <w:r>
        <w:t>29</w:t>
      </w:r>
      <w:r>
        <w:fldChar w:fldCharType="end"/>
      </w:r>
      <w:r>
        <w:fldChar w:fldCharType="end"/>
      </w:r>
    </w:p>
    <w:p>
      <w:pPr>
        <w:pStyle w:val="8"/>
        <w:rPr>
          <w:rFonts w:asciiTheme="minorHAnsi" w:hAnsiTheme="minorHAnsi" w:eastAsiaTheme="minorEastAsia" w:cstheme="minorBidi"/>
          <w:szCs w:val="22"/>
        </w:rPr>
      </w:pPr>
      <w:r>
        <w:fldChar w:fldCharType="begin"/>
      </w:r>
      <w:r>
        <w:instrText xml:space="preserve"> HYPERLINK \l "_Toc48722672" </w:instrText>
      </w:r>
      <w:r>
        <w:fldChar w:fldCharType="separate"/>
      </w:r>
      <w:r>
        <w:rPr>
          <w:rStyle w:val="19"/>
          <w:rFonts w:hint="eastAsia" w:ascii="宋体" w:hAnsi="宋体"/>
        </w:rPr>
        <w:t>格式</w:t>
      </w:r>
      <w:r>
        <w:rPr>
          <w:rStyle w:val="19"/>
          <w:rFonts w:hAnsi="宋体" w:cs="宋体"/>
        </w:rPr>
        <w:t>4-1</w:t>
      </w:r>
      <w:r>
        <w:rPr>
          <w:rStyle w:val="19"/>
          <w:rFonts w:hint="eastAsia" w:hAnsi="宋体" w:cs="宋体"/>
        </w:rPr>
        <w:t>　法定代表人授权书（格式）</w:t>
      </w:r>
      <w:r>
        <w:rPr>
          <w:rStyle w:val="19"/>
          <w:rFonts w:hAnsi="宋体" w:cs="宋体"/>
        </w:rPr>
        <w:t>*</w:t>
      </w:r>
      <w:r>
        <w:tab/>
      </w:r>
      <w:r>
        <w:fldChar w:fldCharType="begin"/>
      </w:r>
      <w:r>
        <w:instrText xml:space="preserve"> PAGEREF _Toc48722672 \h </w:instrText>
      </w:r>
      <w:r>
        <w:fldChar w:fldCharType="separate"/>
      </w:r>
      <w:r>
        <w:t>30</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"_Toc48722673" </w:instrText>
      </w:r>
      <w:r>
        <w:fldChar w:fldCharType="separate"/>
      </w:r>
      <w:r>
        <w:rPr>
          <w:rStyle w:val="19"/>
          <w:rFonts w:hint="eastAsia" w:ascii="宋体" w:hAnsi="宋体"/>
        </w:rPr>
        <w:t>格式</w:t>
      </w:r>
      <w:r>
        <w:rPr>
          <w:rStyle w:val="19"/>
          <w:rFonts w:ascii="宋体" w:hAnsi="宋体"/>
        </w:rPr>
        <w:t xml:space="preserve">5. </w:t>
      </w:r>
      <w:r>
        <w:rPr>
          <w:rStyle w:val="19"/>
          <w:rFonts w:hint="eastAsia" w:ascii="宋体" w:hAnsi="宋体"/>
        </w:rPr>
        <w:t>其他证明资料</w:t>
      </w:r>
      <w:r>
        <w:tab/>
      </w:r>
      <w:r>
        <w:fldChar w:fldCharType="begin"/>
      </w:r>
      <w:r>
        <w:instrText xml:space="preserve"> PAGEREF _Toc48722673 \h </w:instrText>
      </w:r>
      <w:r>
        <w:fldChar w:fldCharType="separate"/>
      </w:r>
      <w:r>
        <w:t>31</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"_Toc48722674" </w:instrText>
      </w:r>
      <w:r>
        <w:fldChar w:fldCharType="separate"/>
      </w:r>
      <w:r>
        <w:rPr>
          <w:rStyle w:val="19"/>
          <w:rFonts w:ascii="宋体" w:hAnsi="宋体"/>
        </w:rPr>
        <w:t>6.</w:t>
      </w:r>
      <w:r>
        <w:rPr>
          <w:rStyle w:val="19"/>
          <w:rFonts w:hint="eastAsia" w:ascii="宋体" w:hAnsi="宋体"/>
        </w:rPr>
        <w:t>资格证明文件</w:t>
      </w:r>
      <w:r>
        <w:tab/>
      </w:r>
      <w:r>
        <w:fldChar w:fldCharType="begin"/>
      </w:r>
      <w:r>
        <w:instrText xml:space="preserve"> PAGEREF _Toc48722674 \h </w:instrText>
      </w:r>
      <w:r>
        <w:fldChar w:fldCharType="separate"/>
      </w:r>
      <w:r>
        <w:t>32</w:t>
      </w:r>
      <w:r>
        <w:fldChar w:fldCharType="end"/>
      </w:r>
      <w:r>
        <w:fldChar w:fldCharType="end"/>
      </w:r>
    </w:p>
    <w:p>
      <w:pPr>
        <w:pStyle w:val="15"/>
        <w:spacing w:line="360" w:lineRule="exact"/>
      </w:pPr>
      <w:r>
        <w:fldChar w:fldCharType="end"/>
      </w:r>
    </w:p>
    <w:p/>
    <w:p/>
    <w:p/>
    <w:p/>
    <w:p/>
    <w:p/>
    <w:p/>
    <w:p/>
    <w:p/>
    <w:p/>
    <w:p/>
    <w:p/>
    <w:p/>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
      <w:pPr>
        <w:pStyle w:val="2"/>
      </w:pPr>
    </w:p>
    <w:p>
      <w:pPr>
        <w:pStyle w:val="2"/>
      </w:pPr>
    </w:p>
    <w:p>
      <w:pPr>
        <w:pStyle w:val="5"/>
        <w:numPr>
          <w:ilvl w:val="0"/>
          <w:numId w:val="2"/>
        </w:numPr>
        <w:jc w:val="center"/>
        <w:rPr>
          <w:rFonts w:eastAsia="仿宋_GB2312"/>
          <w:b/>
          <w:bCs/>
          <w:sz w:val="32"/>
        </w:rPr>
      </w:pPr>
      <w:bookmarkStart w:id="0" w:name="_Toc48722650"/>
      <w:r>
        <w:rPr>
          <w:rFonts w:hint="eastAsia" w:eastAsia="仿宋_GB2312"/>
          <w:b/>
          <w:bCs/>
          <w:sz w:val="32"/>
        </w:rPr>
        <w:t>磋商邀请</w:t>
      </w:r>
      <w:bookmarkEnd w:id="0"/>
    </w:p>
    <w:p/>
    <w:p>
      <w:pPr>
        <w:pStyle w:val="2"/>
      </w:pPr>
    </w:p>
    <w:p>
      <w:pPr>
        <w:ind w:left="479" w:leftChars="228" w:firstLine="480" w:firstLineChars="200"/>
        <w:rPr>
          <w:rFonts w:ascii="宋体" w:hAnsi="宋体"/>
          <w:sz w:val="24"/>
          <w:szCs w:val="24"/>
        </w:rPr>
      </w:pPr>
      <w:r>
        <w:rPr>
          <w:rFonts w:hint="eastAsia" w:ascii="宋体" w:hAnsi="宋体"/>
          <w:sz w:val="24"/>
          <w:szCs w:val="24"/>
        </w:rPr>
        <w:t>南昌大学附属口腔医院红谷滩新院沙盘制作项目采购依照公平、公正的原则，对其所需的相关货物进行竞争性磋商采购，欢迎合格的供应商前来参加。</w:t>
      </w:r>
    </w:p>
    <w:p>
      <w:pPr>
        <w:widowControl/>
        <w:ind w:firstLine="482" w:firstLineChars="200"/>
        <w:jc w:val="left"/>
        <w:rPr>
          <w:rFonts w:ascii="宋体" w:hAnsi="宋体"/>
          <w:b/>
          <w:bCs/>
          <w:sz w:val="24"/>
          <w:szCs w:val="24"/>
        </w:rPr>
      </w:pPr>
      <w:r>
        <w:rPr>
          <w:rFonts w:hint="eastAsia" w:ascii="宋体" w:hAnsi="宋体"/>
          <w:b/>
          <w:bCs/>
          <w:sz w:val="24"/>
          <w:szCs w:val="24"/>
        </w:rPr>
        <w:t>项目名称：南昌大学附属口腔医院红谷滩新院沙盘制作项目</w:t>
      </w:r>
    </w:p>
    <w:p>
      <w:pPr>
        <w:spacing w:line="400" w:lineRule="exact"/>
        <w:ind w:firstLine="482" w:firstLineChars="200"/>
        <w:rPr>
          <w:rFonts w:ascii="宋体" w:hAnsi="宋体"/>
          <w:b/>
          <w:bCs/>
          <w:sz w:val="24"/>
          <w:szCs w:val="24"/>
        </w:rPr>
      </w:pPr>
      <w:r>
        <w:rPr>
          <w:rFonts w:hint="eastAsia" w:ascii="宋体" w:hAnsi="宋体"/>
          <w:b/>
          <w:bCs/>
          <w:sz w:val="24"/>
          <w:szCs w:val="24"/>
        </w:rPr>
        <w:t>项目编号：JXKQ202018</w:t>
      </w:r>
    </w:p>
    <w:p>
      <w:pPr>
        <w:spacing w:line="400" w:lineRule="exact"/>
        <w:ind w:firstLine="482" w:firstLineChars="200"/>
        <w:rPr>
          <w:rFonts w:ascii="宋体" w:hAnsi="宋体"/>
          <w:b/>
          <w:bCs/>
          <w:sz w:val="24"/>
          <w:szCs w:val="24"/>
        </w:rPr>
      </w:pPr>
      <w:r>
        <w:rPr>
          <w:rFonts w:hint="eastAsia" w:ascii="宋体" w:hAnsi="宋体"/>
          <w:b/>
          <w:bCs/>
          <w:sz w:val="24"/>
          <w:szCs w:val="24"/>
        </w:rPr>
        <w:t>采购预算：5.8万元</w:t>
      </w:r>
    </w:p>
    <w:p>
      <w:pPr>
        <w:spacing w:afterLines="50" w:line="460" w:lineRule="exact"/>
        <w:rPr>
          <w:bCs/>
          <w:sz w:val="24"/>
        </w:rPr>
      </w:pPr>
      <w:r>
        <w:rPr>
          <w:rFonts w:hint="eastAsia"/>
          <w:bCs/>
          <w:sz w:val="24"/>
        </w:rPr>
        <w:t>一、采购人的采购需求</w:t>
      </w:r>
    </w:p>
    <w:tbl>
      <w:tblPr>
        <w:tblStyle w:val="16"/>
        <w:tblpPr w:leftFromText="180" w:rightFromText="180" w:vertAnchor="text" w:tblpY="1"/>
        <w:tblOverlap w:val="never"/>
        <w:tblW w:w="10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0"/>
        <w:gridCol w:w="3841"/>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4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szCs w:val="24"/>
              </w:rPr>
            </w:pPr>
            <w:r>
              <w:rPr>
                <w:rFonts w:hint="eastAsia" w:ascii="宋体" w:hAnsi="宋体"/>
                <w:b/>
                <w:bCs/>
                <w:sz w:val="24"/>
                <w:szCs w:val="24"/>
              </w:rPr>
              <w:t>采购名称</w:t>
            </w:r>
          </w:p>
        </w:tc>
        <w:tc>
          <w:tcPr>
            <w:tcW w:w="3841"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ascii="宋体" w:hAnsi="宋体" w:cs="宋体"/>
                <w:b/>
                <w:bCs/>
                <w:kern w:val="0"/>
                <w:sz w:val="24"/>
                <w:szCs w:val="22"/>
              </w:rPr>
              <w:t>设备比例、尺寸</w:t>
            </w:r>
          </w:p>
        </w:tc>
        <w:tc>
          <w:tcPr>
            <w:tcW w:w="1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szCs w:val="24"/>
              </w:rPr>
            </w:pPr>
            <w:r>
              <w:rPr>
                <w:rFonts w:hint="eastAsia" w:ascii="宋体" w:hAnsi="宋体"/>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南昌大学附属口腔医院红谷滩新院沙盘制作项目</w:t>
            </w:r>
          </w:p>
        </w:tc>
        <w:tc>
          <w:tcPr>
            <w:tcW w:w="384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园林比例:1:105   外框尺寸：</w:t>
            </w:r>
            <w:r>
              <w:rPr>
                <w:rFonts w:hint="eastAsia"/>
                <w:color w:val="FF0000"/>
                <w:szCs w:val="21"/>
              </w:rPr>
              <w:t>3.0m*2.0</w:t>
            </w:r>
          </w:p>
          <w:p>
            <w:pPr>
              <w:pStyle w:val="2"/>
              <w:ind w:left="0" w:leftChars="0" w:firstLine="0" w:firstLineChars="0"/>
              <w:rPr>
                <w:rFonts w:ascii="宋体" w:hAnsi="宋体"/>
                <w:szCs w:val="21"/>
              </w:rPr>
            </w:pPr>
            <w:r>
              <w:rPr>
                <w:rFonts w:hint="eastAsia" w:ascii="宋体" w:hAnsi="宋体"/>
                <w:szCs w:val="21"/>
              </w:rPr>
              <w:t>建筑比例:1:125  内框尺寸：2.8m*1.8</w:t>
            </w:r>
          </w:p>
        </w:tc>
        <w:tc>
          <w:tcPr>
            <w:tcW w:w="1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1项</w:t>
            </w:r>
          </w:p>
        </w:tc>
      </w:tr>
    </w:tbl>
    <w:p>
      <w:pPr>
        <w:ind w:left="479" w:leftChars="228" w:firstLine="480" w:firstLineChars="200"/>
        <w:rPr>
          <w:rFonts w:ascii="宋体" w:hAnsi="宋体"/>
          <w:sz w:val="24"/>
          <w:szCs w:val="24"/>
        </w:rPr>
      </w:pPr>
      <w:r>
        <w:rPr>
          <w:rFonts w:hint="eastAsia" w:ascii="宋体" w:hAnsi="宋体"/>
          <w:sz w:val="24"/>
          <w:szCs w:val="24"/>
        </w:rPr>
        <w:t>二、供应商的资格要求</w:t>
      </w:r>
    </w:p>
    <w:p>
      <w:pPr>
        <w:ind w:left="479" w:leftChars="228" w:firstLine="480" w:firstLineChars="200"/>
        <w:rPr>
          <w:rFonts w:ascii="宋体" w:hAnsi="宋体"/>
          <w:sz w:val="24"/>
          <w:szCs w:val="24"/>
        </w:rPr>
      </w:pPr>
      <w:r>
        <w:rPr>
          <w:rFonts w:hint="eastAsia" w:ascii="宋体" w:hAnsi="宋体"/>
          <w:sz w:val="24"/>
          <w:szCs w:val="24"/>
        </w:rPr>
        <w:t>2.1具有独立承担民事责任的能力；</w:t>
      </w:r>
    </w:p>
    <w:p>
      <w:pPr>
        <w:ind w:left="479" w:leftChars="228" w:firstLine="480" w:firstLineChars="200"/>
        <w:rPr>
          <w:rFonts w:ascii="宋体" w:hAnsi="宋体"/>
          <w:sz w:val="24"/>
          <w:szCs w:val="24"/>
        </w:rPr>
      </w:pPr>
      <w:r>
        <w:rPr>
          <w:rFonts w:hint="eastAsia" w:ascii="宋体" w:hAnsi="宋体"/>
          <w:sz w:val="24"/>
          <w:szCs w:val="24"/>
        </w:rPr>
        <w:t>2.1.1近三年以来（ 2018年 1月 1日至投标截止为止，以合同签订生效时间为准）承揽过沙盘制作项目的业绩5个或以上；</w:t>
      </w:r>
    </w:p>
    <w:p>
      <w:pPr>
        <w:ind w:left="479" w:leftChars="228" w:firstLine="480" w:firstLineChars="200"/>
        <w:rPr>
          <w:rFonts w:ascii="宋体" w:hAnsi="宋体"/>
          <w:sz w:val="24"/>
          <w:szCs w:val="24"/>
        </w:rPr>
      </w:pPr>
      <w:r>
        <w:rPr>
          <w:rFonts w:hint="eastAsia" w:ascii="宋体" w:hAnsi="宋体"/>
          <w:sz w:val="24"/>
          <w:szCs w:val="24"/>
        </w:rPr>
        <w:t>2.1.2法律、行政法规规定的其他条件及项目特殊要求：</w:t>
      </w:r>
    </w:p>
    <w:p>
      <w:pPr>
        <w:ind w:left="479" w:leftChars="228" w:firstLine="480" w:firstLineChars="200"/>
        <w:rPr>
          <w:rFonts w:ascii="宋体" w:hAnsi="宋体"/>
          <w:sz w:val="24"/>
          <w:szCs w:val="24"/>
        </w:rPr>
      </w:pPr>
      <w:r>
        <w:rPr>
          <w:rFonts w:hint="eastAsia" w:ascii="宋体" w:hAnsi="宋体"/>
          <w:sz w:val="24"/>
          <w:szCs w:val="24"/>
        </w:rPr>
        <w:t>（1）单位负责人为同一人或者存在直接控股、管理关系的不同供应商，不得参加同一合同项下的采购活动。</w:t>
      </w:r>
    </w:p>
    <w:p>
      <w:pPr>
        <w:ind w:left="479" w:leftChars="228" w:firstLine="480" w:firstLineChars="200"/>
        <w:rPr>
          <w:rFonts w:ascii="宋体" w:hAnsi="宋体"/>
          <w:sz w:val="24"/>
          <w:szCs w:val="24"/>
        </w:rPr>
      </w:pPr>
      <w:r>
        <w:rPr>
          <w:rFonts w:hint="eastAsia" w:ascii="宋体" w:hAnsi="宋体"/>
          <w:sz w:val="24"/>
          <w:szCs w:val="24"/>
        </w:rPr>
        <w:t>（2）本项目不接受联合体参加磋商。</w:t>
      </w:r>
    </w:p>
    <w:p>
      <w:pPr>
        <w:ind w:left="479" w:leftChars="228" w:firstLine="480" w:firstLineChars="200"/>
        <w:rPr>
          <w:rFonts w:ascii="宋体" w:hAnsi="宋体"/>
          <w:sz w:val="24"/>
          <w:szCs w:val="24"/>
        </w:rPr>
      </w:pPr>
      <w:r>
        <w:rPr>
          <w:rFonts w:hint="eastAsia" w:ascii="宋体" w:hAnsi="宋体"/>
          <w:sz w:val="24"/>
          <w:szCs w:val="24"/>
        </w:rPr>
        <w:t>三、获取磋商文件的时间和期限、地点、方式</w:t>
      </w:r>
    </w:p>
    <w:p>
      <w:pPr>
        <w:ind w:left="479" w:leftChars="228" w:firstLine="480" w:firstLineChars="200"/>
        <w:rPr>
          <w:rFonts w:ascii="宋体" w:hAnsi="宋体"/>
          <w:sz w:val="24"/>
          <w:szCs w:val="24"/>
        </w:rPr>
      </w:pPr>
      <w:r>
        <w:rPr>
          <w:rFonts w:hint="eastAsia" w:ascii="宋体" w:hAnsi="宋体"/>
          <w:sz w:val="24"/>
          <w:szCs w:val="24"/>
        </w:rPr>
        <w:t>有意向的供应商获取磋商文件：南昌大学附属口腔医院门户网站（网址：http://www.</w:t>
      </w:r>
      <w:r>
        <w:rPr>
          <w:rFonts w:hint="eastAsia" w:ascii="宋体" w:hAnsi="宋体"/>
          <w:sz w:val="24"/>
          <w:szCs w:val="24"/>
          <w:lang w:val="en-US" w:eastAsia="zh-CN"/>
        </w:rPr>
        <w:t>jxskqyy</w:t>
      </w:r>
      <w:r>
        <w:rPr>
          <w:rFonts w:hint="eastAsia" w:ascii="宋体" w:hAnsi="宋体"/>
          <w:sz w:val="24"/>
          <w:szCs w:val="24"/>
        </w:rPr>
        <w:t>.com）下载中心（资料下载）自行下载。</w:t>
      </w:r>
    </w:p>
    <w:p>
      <w:pPr>
        <w:ind w:left="479" w:leftChars="228" w:firstLine="480" w:firstLineChars="200"/>
        <w:rPr>
          <w:rFonts w:ascii="宋体" w:hAnsi="宋体"/>
          <w:color w:val="FF0000"/>
          <w:sz w:val="24"/>
          <w:szCs w:val="24"/>
        </w:rPr>
      </w:pPr>
      <w:r>
        <w:rPr>
          <w:rFonts w:hint="eastAsia" w:ascii="宋体" w:hAnsi="宋体"/>
          <w:sz w:val="24"/>
          <w:szCs w:val="24"/>
        </w:rPr>
        <w:t>四、报名方式：请在</w:t>
      </w:r>
      <w:r>
        <w:rPr>
          <w:rFonts w:hint="eastAsia" w:ascii="宋体" w:hAnsi="宋体"/>
          <w:color w:val="FF0000"/>
          <w:sz w:val="24"/>
          <w:szCs w:val="24"/>
        </w:rPr>
        <w:t>2020年8月21日9时</w:t>
      </w:r>
      <w:r>
        <w:rPr>
          <w:rFonts w:hint="eastAsia" w:ascii="宋体" w:hAnsi="宋体"/>
          <w:sz w:val="24"/>
          <w:szCs w:val="24"/>
        </w:rPr>
        <w:t>前在南昌大学附属口腔医院门户网站（网址：</w:t>
      </w:r>
      <w:r>
        <w:fldChar w:fldCharType="begin"/>
      </w:r>
      <w:r>
        <w:instrText xml:space="preserve"> HYPERLINK "http://www.kqyy.118.aoyacms.co" </w:instrText>
      </w:r>
      <w:r>
        <w:fldChar w:fldCharType="separate"/>
      </w:r>
      <w:r>
        <w:rPr>
          <w:rFonts w:hint="eastAsia" w:ascii="宋体" w:hAnsi="宋体"/>
          <w:szCs w:val="24"/>
        </w:rPr>
        <w:t>http://www.</w:t>
      </w:r>
      <w:r>
        <w:rPr>
          <w:rFonts w:hint="eastAsia" w:ascii="宋体" w:hAnsi="宋体"/>
          <w:szCs w:val="24"/>
          <w:lang w:val="en-US" w:eastAsia="zh-CN"/>
        </w:rPr>
        <w:t>jxskqyy</w:t>
      </w:r>
      <w:r>
        <w:rPr>
          <w:rFonts w:hint="eastAsia" w:ascii="宋体" w:hAnsi="宋体"/>
          <w:szCs w:val="24"/>
        </w:rPr>
        <w:t>.co</w:t>
      </w:r>
      <w:r>
        <w:rPr>
          <w:rFonts w:hint="eastAsia" w:ascii="宋体" w:hAnsi="宋体"/>
          <w:szCs w:val="24"/>
        </w:rPr>
        <w:fldChar w:fldCharType="end"/>
      </w:r>
      <w:r>
        <w:rPr>
          <w:rFonts w:hint="eastAsia" w:ascii="宋体" w:hAnsi="宋体"/>
          <w:sz w:val="24"/>
          <w:szCs w:val="24"/>
        </w:rPr>
        <w:t>m）下载中心（资料下载）</w:t>
      </w:r>
      <w:r>
        <w:rPr>
          <w:rFonts w:hint="eastAsia" w:ascii="宋体" w:hAnsi="宋体"/>
          <w:color w:val="auto"/>
          <w:sz w:val="24"/>
          <w:szCs w:val="24"/>
          <w:u w:val="none"/>
        </w:rPr>
        <w:t>下载报名登记表及供应商资格证明文件、资信证明文件、授权委托书、委托代表身份证复印件及所投产品认证证书等相关资料以PDF格式发送至邮箱NDKQYYZBB@163.COM</w:t>
      </w:r>
      <w:r>
        <w:rPr>
          <w:rFonts w:hint="eastAsia" w:ascii="宋体" w:hAnsi="宋体"/>
          <w:sz w:val="24"/>
          <w:szCs w:val="24"/>
        </w:rPr>
        <w:t>。文件名称为：</w:t>
      </w:r>
      <w:r>
        <w:rPr>
          <w:rFonts w:hint="eastAsia" w:ascii="宋体" w:hAnsi="宋体"/>
          <w:color w:val="FF0000"/>
          <w:sz w:val="24"/>
          <w:szCs w:val="24"/>
        </w:rPr>
        <w:t>项目名称+公司名称</w:t>
      </w:r>
      <w:r>
        <w:rPr>
          <w:rFonts w:hint="eastAsia" w:ascii="宋体" w:hAnsi="宋体"/>
          <w:sz w:val="24"/>
          <w:szCs w:val="24"/>
        </w:rPr>
        <w:t>，</w:t>
      </w:r>
      <w:r>
        <w:rPr>
          <w:rFonts w:hint="eastAsia" w:ascii="宋体" w:hAnsi="宋体"/>
          <w:color w:val="FF0000"/>
          <w:sz w:val="24"/>
          <w:szCs w:val="24"/>
        </w:rPr>
        <w:t>不需要到现场报名。</w:t>
      </w:r>
      <w:r>
        <w:rPr>
          <w:rFonts w:ascii="宋体" w:hAnsi="宋体"/>
          <w:color w:val="FF0000"/>
          <w:sz w:val="24"/>
          <w:szCs w:val="24"/>
        </w:rPr>
        <w:t xml:space="preserve"> </w:t>
      </w:r>
      <w:bookmarkStart w:id="101" w:name="_GoBack"/>
      <w:bookmarkEnd w:id="101"/>
    </w:p>
    <w:p>
      <w:pPr>
        <w:ind w:left="479" w:leftChars="228" w:firstLine="480" w:firstLineChars="200"/>
        <w:rPr>
          <w:rFonts w:ascii="宋体" w:hAnsi="宋体"/>
          <w:sz w:val="24"/>
          <w:szCs w:val="24"/>
        </w:rPr>
      </w:pPr>
      <w:r>
        <w:rPr>
          <w:rFonts w:hint="eastAsia" w:ascii="宋体" w:hAnsi="宋体"/>
          <w:sz w:val="24"/>
          <w:szCs w:val="24"/>
        </w:rPr>
        <w:t>五、响应文件递交截止时间和磋商时间为</w:t>
      </w:r>
      <w:r>
        <w:rPr>
          <w:rFonts w:hint="eastAsia" w:ascii="宋体" w:hAnsi="宋体"/>
          <w:color w:val="FF0000"/>
          <w:sz w:val="24"/>
          <w:szCs w:val="24"/>
        </w:rPr>
        <w:t xml:space="preserve"> 2020 年8月21日9时30分</w:t>
      </w:r>
      <w:r>
        <w:rPr>
          <w:rFonts w:hint="eastAsia" w:ascii="宋体" w:hAnsi="宋体"/>
          <w:sz w:val="24"/>
          <w:szCs w:val="24"/>
        </w:rPr>
        <w:t>。</w:t>
      </w:r>
      <w:r>
        <w:rPr>
          <w:rFonts w:ascii="宋体" w:hAnsi="宋体"/>
          <w:sz w:val="24"/>
          <w:szCs w:val="24"/>
        </w:rPr>
        <w:t xml:space="preserve"> </w:t>
      </w:r>
    </w:p>
    <w:p>
      <w:pPr>
        <w:ind w:left="479" w:leftChars="228" w:firstLine="480" w:firstLineChars="200"/>
        <w:rPr>
          <w:rFonts w:ascii="宋体" w:hAnsi="宋体"/>
          <w:sz w:val="24"/>
          <w:szCs w:val="24"/>
        </w:rPr>
      </w:pPr>
      <w:r>
        <w:rPr>
          <w:rFonts w:hint="eastAsia" w:ascii="宋体" w:hAnsi="宋体"/>
          <w:sz w:val="24"/>
          <w:szCs w:val="24"/>
        </w:rPr>
        <w:t>六、响应文件递交地点和磋商地点在南昌大学附属口腔医院九楼会议室。</w:t>
      </w:r>
      <w:r>
        <w:rPr>
          <w:rFonts w:ascii="宋体" w:hAnsi="宋体"/>
          <w:sz w:val="24"/>
          <w:szCs w:val="24"/>
        </w:rPr>
        <w:t xml:space="preserve"> </w:t>
      </w:r>
    </w:p>
    <w:p>
      <w:pPr>
        <w:ind w:left="479" w:leftChars="228" w:firstLine="480" w:firstLineChars="200"/>
        <w:rPr>
          <w:rFonts w:ascii="宋体" w:hAnsi="宋体"/>
          <w:sz w:val="24"/>
          <w:szCs w:val="24"/>
        </w:rPr>
      </w:pPr>
      <w:r>
        <w:rPr>
          <w:rFonts w:hint="eastAsia" w:ascii="宋体" w:hAnsi="宋体"/>
          <w:sz w:val="24"/>
          <w:szCs w:val="24"/>
        </w:rPr>
        <w:t>七、采购人联系方式：</w:t>
      </w:r>
      <w:r>
        <w:rPr>
          <w:rFonts w:ascii="宋体" w:hAnsi="宋体"/>
          <w:sz w:val="24"/>
          <w:szCs w:val="24"/>
        </w:rPr>
        <w:t xml:space="preserve"> </w:t>
      </w:r>
    </w:p>
    <w:p>
      <w:pPr>
        <w:ind w:left="479" w:leftChars="228" w:firstLine="480" w:firstLineChars="200"/>
        <w:rPr>
          <w:rFonts w:ascii="宋体" w:hAnsi="宋体"/>
          <w:sz w:val="24"/>
          <w:szCs w:val="24"/>
        </w:rPr>
      </w:pPr>
      <w:r>
        <w:rPr>
          <w:rFonts w:hint="eastAsia" w:ascii="宋体" w:hAnsi="宋体"/>
          <w:sz w:val="24"/>
          <w:szCs w:val="24"/>
        </w:rPr>
        <w:t xml:space="preserve">地址：江西省南昌市福州路49号 </w:t>
      </w:r>
    </w:p>
    <w:p>
      <w:pPr>
        <w:ind w:left="479" w:leftChars="228" w:firstLine="480" w:firstLineChars="200"/>
        <w:rPr>
          <w:rFonts w:ascii="宋体" w:hAnsi="宋体"/>
          <w:sz w:val="24"/>
          <w:szCs w:val="24"/>
        </w:rPr>
      </w:pPr>
      <w:r>
        <w:rPr>
          <w:rFonts w:hint="eastAsia" w:ascii="宋体" w:hAnsi="宋体"/>
          <w:sz w:val="24"/>
          <w:szCs w:val="24"/>
        </w:rPr>
        <w:t xml:space="preserve">联系人：朱老师 </w:t>
      </w:r>
    </w:p>
    <w:p>
      <w:pPr>
        <w:ind w:left="479" w:leftChars="228" w:firstLine="480" w:firstLineChars="200"/>
        <w:rPr>
          <w:rFonts w:ascii="宋体" w:hAnsi="宋体"/>
          <w:sz w:val="24"/>
          <w:szCs w:val="24"/>
        </w:rPr>
      </w:pPr>
      <w:r>
        <w:rPr>
          <w:rFonts w:hint="eastAsia" w:ascii="宋体" w:hAnsi="宋体"/>
          <w:sz w:val="24"/>
          <w:szCs w:val="24"/>
        </w:rPr>
        <w:t>联系电话：0791-86363719</w:t>
      </w:r>
    </w:p>
    <w:p>
      <w:pPr>
        <w:pStyle w:val="5"/>
        <w:jc w:val="center"/>
        <w:rPr>
          <w:rFonts w:eastAsia="仿宋_GB2312"/>
          <w:b/>
          <w:bCs/>
          <w:sz w:val="32"/>
        </w:rPr>
      </w:pPr>
    </w:p>
    <w:p>
      <w:pPr>
        <w:pStyle w:val="5"/>
        <w:jc w:val="center"/>
        <w:rPr>
          <w:rFonts w:eastAsia="仿宋_GB2312"/>
          <w:b/>
          <w:bCs/>
          <w:sz w:val="32"/>
        </w:rPr>
      </w:pPr>
    </w:p>
    <w:p/>
    <w:p>
      <w:pPr>
        <w:pStyle w:val="2"/>
      </w:pPr>
    </w:p>
    <w:p>
      <w:pPr>
        <w:pStyle w:val="2"/>
      </w:pPr>
    </w:p>
    <w:p>
      <w:pPr>
        <w:pStyle w:val="2"/>
      </w:pPr>
    </w:p>
    <w:p>
      <w:pPr>
        <w:pStyle w:val="5"/>
        <w:jc w:val="center"/>
        <w:rPr>
          <w:rFonts w:eastAsia="仿宋_GB2312"/>
          <w:b/>
          <w:bCs/>
          <w:sz w:val="32"/>
        </w:rPr>
      </w:pPr>
      <w:bookmarkStart w:id="1" w:name="_Toc48722651"/>
      <w:r>
        <w:rPr>
          <w:rFonts w:hint="eastAsia" w:eastAsia="仿宋_GB2312"/>
          <w:b/>
          <w:bCs/>
          <w:sz w:val="32"/>
        </w:rPr>
        <w:t>第二章 供应商须知</w:t>
      </w:r>
      <w:bookmarkEnd w:id="1"/>
    </w:p>
    <w:p/>
    <w:p>
      <w:pPr>
        <w:pStyle w:val="6"/>
        <w:numPr>
          <w:ilvl w:val="0"/>
          <w:numId w:val="3"/>
        </w:numPr>
        <w:spacing w:before="0" w:after="0" w:line="240" w:lineRule="auto"/>
        <w:rPr>
          <w:rFonts w:ascii="宋体" w:hAnsi="宋体" w:eastAsia="宋体"/>
          <w:sz w:val="28"/>
          <w:szCs w:val="28"/>
        </w:rPr>
      </w:pPr>
      <w:bookmarkStart w:id="2" w:name="_Toc220257383"/>
      <w:bookmarkStart w:id="3" w:name="_Toc221335709"/>
      <w:bookmarkStart w:id="4" w:name="_Toc220403898"/>
      <w:bookmarkStart w:id="5" w:name="_Toc48722652"/>
      <w:r>
        <w:rPr>
          <w:rFonts w:hint="eastAsia" w:ascii="宋体" w:hAnsi="宋体" w:eastAsia="宋体"/>
          <w:sz w:val="28"/>
          <w:szCs w:val="28"/>
        </w:rPr>
        <w:t>供应商须知前附表</w:t>
      </w:r>
      <w:bookmarkEnd w:id="2"/>
      <w:bookmarkEnd w:id="3"/>
      <w:bookmarkEnd w:id="4"/>
      <w:bookmarkEnd w:id="5"/>
    </w:p>
    <w:p/>
    <w:tbl>
      <w:tblPr>
        <w:tblStyle w:val="16"/>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895" w:type="dxa"/>
            <w:vAlign w:val="center"/>
          </w:tcPr>
          <w:p>
            <w:pPr>
              <w:spacing w:line="276" w:lineRule="auto"/>
              <w:jc w:val="center"/>
              <w:rPr>
                <w:rFonts w:ascii="宋体" w:hAnsi="宋体"/>
                <w:b/>
                <w:sz w:val="24"/>
                <w:szCs w:val="24"/>
              </w:rPr>
            </w:pPr>
            <w:r>
              <w:rPr>
                <w:rFonts w:hint="eastAsia" w:ascii="宋体" w:hAnsi="宋体"/>
                <w:b/>
                <w:sz w:val="24"/>
                <w:szCs w:val="24"/>
              </w:rPr>
              <w:t>序号</w:t>
            </w:r>
          </w:p>
        </w:tc>
        <w:tc>
          <w:tcPr>
            <w:tcW w:w="8100" w:type="dxa"/>
            <w:vAlign w:val="center"/>
          </w:tcPr>
          <w:p>
            <w:pPr>
              <w:spacing w:line="276" w:lineRule="auto"/>
              <w:jc w:val="center"/>
              <w:rPr>
                <w:rFonts w:ascii="宋体" w:hAnsi="宋体"/>
                <w:b/>
                <w:sz w:val="24"/>
                <w:szCs w:val="24"/>
              </w:rPr>
            </w:pPr>
            <w:r>
              <w:rPr>
                <w:rFonts w:hint="eastAsia" w:ascii="宋体" w:hAnsi="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895" w:type="dxa"/>
            <w:tcBorders>
              <w:bottom w:val="single" w:color="auto" w:sz="4" w:space="0"/>
            </w:tcBorders>
            <w:vAlign w:val="center"/>
          </w:tcPr>
          <w:p>
            <w:pPr>
              <w:pStyle w:val="9"/>
              <w:spacing w:line="276" w:lineRule="auto"/>
              <w:jc w:val="center"/>
              <w:rPr>
                <w:rFonts w:ascii="宋体" w:hAnsi="宋体" w:eastAsia="宋体"/>
                <w:szCs w:val="24"/>
              </w:rPr>
            </w:pPr>
            <w:r>
              <w:rPr>
                <w:rFonts w:hint="eastAsia" w:ascii="宋体" w:hAnsi="宋体" w:eastAsia="宋体"/>
                <w:szCs w:val="24"/>
              </w:rPr>
              <w:t>1</w:t>
            </w:r>
          </w:p>
        </w:tc>
        <w:tc>
          <w:tcPr>
            <w:tcW w:w="8100" w:type="dxa"/>
            <w:tcBorders>
              <w:bottom w:val="single" w:color="auto" w:sz="4" w:space="0"/>
            </w:tcBorders>
            <w:vAlign w:val="center"/>
          </w:tcPr>
          <w:p>
            <w:pPr>
              <w:spacing w:line="276" w:lineRule="auto"/>
              <w:rPr>
                <w:rFonts w:ascii="宋体" w:hAnsi="宋体"/>
                <w:sz w:val="24"/>
                <w:szCs w:val="24"/>
              </w:rPr>
            </w:pPr>
            <w:r>
              <w:rPr>
                <w:rFonts w:hint="eastAsia" w:ascii="宋体" w:hAnsi="宋体"/>
                <w:b/>
                <w:bCs/>
                <w:sz w:val="24"/>
                <w:szCs w:val="24"/>
              </w:rPr>
              <w:t>采购人名称</w:t>
            </w:r>
            <w:r>
              <w:rPr>
                <w:rFonts w:hint="eastAsia" w:ascii="宋体" w:hAnsi="宋体"/>
                <w:sz w:val="24"/>
                <w:szCs w:val="24"/>
              </w:rPr>
              <w:t>：详见“第一章  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895" w:type="dxa"/>
            <w:tcBorders>
              <w:bottom w:val="single" w:color="auto" w:sz="4" w:space="0"/>
            </w:tcBorders>
            <w:vAlign w:val="center"/>
          </w:tcPr>
          <w:p>
            <w:pPr>
              <w:adjustRightInd w:val="0"/>
              <w:snapToGrid w:val="0"/>
              <w:spacing w:line="276" w:lineRule="auto"/>
              <w:jc w:val="center"/>
              <w:rPr>
                <w:rFonts w:ascii="宋体" w:hAnsi="宋体"/>
                <w:sz w:val="24"/>
                <w:szCs w:val="24"/>
              </w:rPr>
            </w:pPr>
            <w:r>
              <w:rPr>
                <w:rFonts w:hint="eastAsia" w:ascii="宋体" w:hAnsi="宋体"/>
                <w:sz w:val="24"/>
                <w:szCs w:val="24"/>
              </w:rPr>
              <w:t>2</w:t>
            </w:r>
          </w:p>
        </w:tc>
        <w:tc>
          <w:tcPr>
            <w:tcW w:w="8100" w:type="dxa"/>
            <w:tcBorders>
              <w:bottom w:val="single" w:color="auto" w:sz="4" w:space="0"/>
            </w:tcBorders>
            <w:vAlign w:val="center"/>
          </w:tcPr>
          <w:p>
            <w:pPr>
              <w:adjustRightInd w:val="0"/>
              <w:snapToGrid w:val="0"/>
              <w:spacing w:line="276" w:lineRule="auto"/>
              <w:rPr>
                <w:rFonts w:ascii="宋体" w:hAnsi="宋体"/>
                <w:sz w:val="24"/>
                <w:szCs w:val="24"/>
              </w:rPr>
            </w:pPr>
            <w:r>
              <w:rPr>
                <w:rFonts w:hint="eastAsia" w:ascii="宋体" w:hAnsi="宋体"/>
                <w:b/>
                <w:bCs/>
                <w:sz w:val="24"/>
                <w:szCs w:val="24"/>
              </w:rPr>
              <w:t>供应商的资格要求</w:t>
            </w:r>
            <w:r>
              <w:rPr>
                <w:rFonts w:hint="eastAsia" w:ascii="宋体" w:hAnsi="宋体"/>
                <w:sz w:val="24"/>
                <w:szCs w:val="24"/>
              </w:rPr>
              <w:t>：详见“第一章 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895" w:type="dxa"/>
            <w:tcBorders>
              <w:bottom w:val="single" w:color="auto" w:sz="4" w:space="0"/>
            </w:tcBorders>
            <w:vAlign w:val="center"/>
          </w:tcPr>
          <w:p>
            <w:pPr>
              <w:adjustRightInd w:val="0"/>
              <w:snapToGrid w:val="0"/>
              <w:spacing w:line="276" w:lineRule="auto"/>
              <w:jc w:val="center"/>
              <w:rPr>
                <w:rFonts w:ascii="宋体" w:hAnsi="宋体"/>
                <w:sz w:val="24"/>
                <w:szCs w:val="24"/>
              </w:rPr>
            </w:pPr>
            <w:r>
              <w:rPr>
                <w:rFonts w:hint="eastAsia" w:ascii="宋体" w:hAnsi="宋体"/>
                <w:sz w:val="24"/>
                <w:szCs w:val="24"/>
              </w:rPr>
              <w:t>3</w:t>
            </w:r>
          </w:p>
        </w:tc>
        <w:tc>
          <w:tcPr>
            <w:tcW w:w="8100" w:type="dxa"/>
            <w:tcBorders>
              <w:bottom w:val="single" w:color="auto" w:sz="4" w:space="0"/>
            </w:tcBorders>
            <w:vAlign w:val="center"/>
          </w:tcPr>
          <w:p>
            <w:pPr>
              <w:adjustRightInd w:val="0"/>
              <w:snapToGrid w:val="0"/>
              <w:spacing w:line="276" w:lineRule="auto"/>
              <w:rPr>
                <w:rFonts w:ascii="宋体" w:hAnsi="宋体"/>
                <w:sz w:val="24"/>
                <w:szCs w:val="24"/>
              </w:rPr>
            </w:pPr>
            <w:r>
              <w:rPr>
                <w:rFonts w:hint="eastAsia" w:ascii="宋体" w:hAnsi="宋体"/>
                <w:b/>
                <w:bCs/>
                <w:sz w:val="24"/>
              </w:rPr>
              <w:t>本项目是否接受联合体参加磋商：</w:t>
            </w:r>
            <w:r>
              <w:rPr>
                <w:rFonts w:hint="eastAsia" w:ascii="宋体" w:hAnsi="宋体"/>
                <w:sz w:val="24"/>
                <w:szCs w:val="24"/>
              </w:rPr>
              <w:t>详见“第一章  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895" w:type="dxa"/>
            <w:tcBorders>
              <w:bottom w:val="single" w:color="auto" w:sz="4" w:space="0"/>
            </w:tcBorders>
            <w:vAlign w:val="center"/>
          </w:tcPr>
          <w:p>
            <w:pPr>
              <w:adjustRightInd w:val="0"/>
              <w:snapToGrid w:val="0"/>
              <w:spacing w:line="276" w:lineRule="auto"/>
              <w:jc w:val="center"/>
              <w:rPr>
                <w:rFonts w:ascii="宋体" w:hAnsi="宋体"/>
                <w:sz w:val="24"/>
                <w:szCs w:val="24"/>
              </w:rPr>
            </w:pPr>
            <w:r>
              <w:rPr>
                <w:rFonts w:hint="eastAsia" w:ascii="宋体" w:hAnsi="宋体"/>
                <w:sz w:val="24"/>
                <w:szCs w:val="24"/>
              </w:rPr>
              <w:t>4</w:t>
            </w:r>
          </w:p>
        </w:tc>
        <w:tc>
          <w:tcPr>
            <w:tcW w:w="8100" w:type="dxa"/>
            <w:tcBorders>
              <w:bottom w:val="single" w:color="auto" w:sz="4" w:space="0"/>
            </w:tcBorders>
            <w:vAlign w:val="center"/>
          </w:tcPr>
          <w:p>
            <w:pPr>
              <w:adjustRightInd w:val="0"/>
              <w:snapToGrid w:val="0"/>
              <w:spacing w:beforeLines="50" w:line="276" w:lineRule="auto"/>
              <w:rPr>
                <w:rFonts w:ascii="宋体" w:hAnsi="宋体"/>
                <w:sz w:val="24"/>
                <w:szCs w:val="24"/>
              </w:rPr>
            </w:pPr>
            <w:r>
              <w:rPr>
                <w:rFonts w:hint="eastAsia" w:ascii="宋体" w:hAnsi="宋体"/>
                <w:b/>
                <w:bCs/>
                <w:sz w:val="24"/>
                <w:szCs w:val="24"/>
              </w:rPr>
              <w:t>磋商有效期：</w:t>
            </w:r>
            <w:r>
              <w:rPr>
                <w:rFonts w:hint="eastAsia" w:ascii="宋体" w:hAnsi="宋体"/>
                <w:sz w:val="24"/>
                <w:szCs w:val="24"/>
              </w:rPr>
              <w:t>自磋商之日起</w:t>
            </w:r>
            <w:r>
              <w:rPr>
                <w:rFonts w:hint="eastAsia" w:ascii="宋体" w:hAnsi="宋体"/>
                <w:b/>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95" w:type="dxa"/>
            <w:tcBorders>
              <w:bottom w:val="single" w:color="auto" w:sz="4" w:space="0"/>
            </w:tcBorders>
            <w:vAlign w:val="center"/>
          </w:tcPr>
          <w:p>
            <w:pPr>
              <w:adjustRightInd w:val="0"/>
              <w:snapToGrid w:val="0"/>
              <w:spacing w:line="276" w:lineRule="auto"/>
              <w:jc w:val="center"/>
              <w:rPr>
                <w:rFonts w:ascii="宋体" w:hAnsi="宋体"/>
                <w:sz w:val="24"/>
                <w:szCs w:val="24"/>
              </w:rPr>
            </w:pPr>
            <w:r>
              <w:rPr>
                <w:rFonts w:hint="eastAsia" w:ascii="宋体" w:hAnsi="宋体"/>
                <w:sz w:val="24"/>
                <w:szCs w:val="24"/>
              </w:rPr>
              <w:t>5</w:t>
            </w:r>
          </w:p>
        </w:tc>
        <w:tc>
          <w:tcPr>
            <w:tcW w:w="8100" w:type="dxa"/>
            <w:tcBorders>
              <w:bottom w:val="single" w:color="auto" w:sz="4" w:space="0"/>
            </w:tcBorders>
            <w:vAlign w:val="center"/>
          </w:tcPr>
          <w:p>
            <w:pPr>
              <w:adjustRightInd w:val="0"/>
              <w:snapToGrid w:val="0"/>
              <w:spacing w:beforeLines="50" w:line="276" w:lineRule="auto"/>
              <w:rPr>
                <w:rFonts w:ascii="宋体" w:hAnsi="宋体"/>
                <w:sz w:val="24"/>
                <w:szCs w:val="24"/>
              </w:rPr>
            </w:pPr>
            <w:r>
              <w:rPr>
                <w:rFonts w:hint="eastAsia" w:ascii="宋体" w:hAnsi="宋体"/>
                <w:b/>
                <w:bCs/>
                <w:sz w:val="24"/>
                <w:szCs w:val="24"/>
              </w:rPr>
              <w:t>响应文件的份数</w:t>
            </w:r>
            <w:r>
              <w:rPr>
                <w:rFonts w:hint="eastAsia" w:ascii="宋体" w:hAnsi="宋体"/>
                <w:sz w:val="24"/>
                <w:szCs w:val="24"/>
              </w:rPr>
              <w:t>：正本</w:t>
            </w:r>
            <w:r>
              <w:rPr>
                <w:rFonts w:hint="eastAsia" w:ascii="宋体" w:hAnsi="宋体"/>
                <w:color w:val="FF0000"/>
                <w:sz w:val="24"/>
                <w:szCs w:val="24"/>
                <w:u w:val="single"/>
              </w:rPr>
              <w:t xml:space="preserve">1  </w:t>
            </w:r>
            <w:r>
              <w:rPr>
                <w:rFonts w:hint="eastAsia" w:ascii="宋体" w:hAnsi="宋体"/>
                <w:sz w:val="24"/>
                <w:szCs w:val="24"/>
              </w:rPr>
              <w:t>份、 副本</w:t>
            </w:r>
            <w:r>
              <w:rPr>
                <w:rFonts w:hint="eastAsia" w:ascii="宋体" w:hAnsi="宋体"/>
                <w:color w:val="FF0000"/>
                <w:sz w:val="24"/>
                <w:szCs w:val="24"/>
                <w:u w:val="single"/>
              </w:rPr>
              <w:t xml:space="preserve">2 </w:t>
            </w:r>
            <w:r>
              <w:rPr>
                <w:rFonts w:hint="eastAsia" w:ascii="宋体" w:hAnsi="宋体"/>
                <w:sz w:val="24"/>
                <w:szCs w:val="24"/>
              </w:rPr>
              <w:t>份</w:t>
            </w:r>
          </w:p>
          <w:p>
            <w:pPr>
              <w:adjustRightInd w:val="0"/>
              <w:snapToGrid w:val="0"/>
              <w:spacing w:beforeLines="50" w:line="276" w:lineRule="auto"/>
              <w:rPr>
                <w:rFonts w:ascii="宋体" w:hAnsi="宋体"/>
                <w:sz w:val="24"/>
                <w:szCs w:val="24"/>
              </w:rPr>
            </w:pPr>
            <w:r>
              <w:rPr>
                <w:rFonts w:hint="eastAsia" w:ascii="宋体" w:hAnsi="宋体"/>
                <w:b/>
                <w:sz w:val="24"/>
                <w:szCs w:val="24"/>
              </w:rPr>
              <w:t>注：响应文件正、副本均须胶装成册。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95" w:type="dxa"/>
            <w:vAlign w:val="center"/>
          </w:tcPr>
          <w:p>
            <w:pPr>
              <w:adjustRightInd w:val="0"/>
              <w:snapToGrid w:val="0"/>
              <w:spacing w:line="276" w:lineRule="auto"/>
              <w:jc w:val="center"/>
              <w:rPr>
                <w:rFonts w:ascii="宋体" w:hAnsi="宋体"/>
                <w:sz w:val="24"/>
                <w:szCs w:val="24"/>
              </w:rPr>
            </w:pPr>
            <w:r>
              <w:rPr>
                <w:rFonts w:hint="eastAsia" w:ascii="宋体" w:hAnsi="宋体"/>
                <w:sz w:val="24"/>
                <w:szCs w:val="24"/>
              </w:rPr>
              <w:t>6</w:t>
            </w:r>
          </w:p>
        </w:tc>
        <w:tc>
          <w:tcPr>
            <w:tcW w:w="8100" w:type="dxa"/>
            <w:vAlign w:val="center"/>
          </w:tcPr>
          <w:p>
            <w:pPr>
              <w:spacing w:line="276" w:lineRule="auto"/>
              <w:rPr>
                <w:rFonts w:ascii="宋体" w:hAnsi="宋体"/>
                <w:sz w:val="24"/>
                <w:szCs w:val="24"/>
              </w:rPr>
            </w:pPr>
            <w:r>
              <w:rPr>
                <w:rFonts w:hint="eastAsia" w:ascii="宋体" w:hAnsi="宋体"/>
                <w:b/>
                <w:bCs/>
                <w:sz w:val="24"/>
                <w:szCs w:val="24"/>
              </w:rPr>
              <w:t>响应文件递交截止时间：</w:t>
            </w:r>
            <w:r>
              <w:rPr>
                <w:rFonts w:hint="eastAsia" w:ascii="宋体" w:hAnsi="宋体"/>
                <w:sz w:val="24"/>
                <w:szCs w:val="24"/>
              </w:rPr>
              <w:t>详见“第一章 磋商邀请”</w:t>
            </w:r>
          </w:p>
          <w:p>
            <w:pPr>
              <w:spacing w:line="276" w:lineRule="auto"/>
              <w:rPr>
                <w:rFonts w:ascii="宋体" w:hAnsi="宋体"/>
                <w:sz w:val="24"/>
                <w:szCs w:val="24"/>
              </w:rPr>
            </w:pPr>
            <w:r>
              <w:rPr>
                <w:rFonts w:hint="eastAsia" w:ascii="宋体" w:hAnsi="宋体"/>
                <w:b/>
                <w:bCs/>
                <w:sz w:val="24"/>
                <w:szCs w:val="24"/>
              </w:rPr>
              <w:t>磋商时间</w:t>
            </w:r>
            <w:r>
              <w:rPr>
                <w:rFonts w:hint="eastAsia" w:ascii="宋体" w:hAnsi="宋体"/>
                <w:sz w:val="24"/>
                <w:szCs w:val="24"/>
              </w:rPr>
              <w:t>：详见“第一章 磋商邀请”</w:t>
            </w:r>
          </w:p>
          <w:p>
            <w:pPr>
              <w:spacing w:line="276" w:lineRule="auto"/>
              <w:rPr>
                <w:rFonts w:ascii="宋体" w:hAnsi="宋体"/>
                <w:sz w:val="24"/>
                <w:szCs w:val="24"/>
              </w:rPr>
            </w:pPr>
            <w:r>
              <w:rPr>
                <w:rFonts w:hint="eastAsia" w:ascii="宋体" w:hAnsi="宋体"/>
                <w:b/>
                <w:bCs/>
                <w:sz w:val="24"/>
                <w:szCs w:val="24"/>
              </w:rPr>
              <w:t>磋商地点</w:t>
            </w:r>
            <w:r>
              <w:rPr>
                <w:rFonts w:hint="eastAsia" w:ascii="宋体" w:hAnsi="宋体"/>
                <w:sz w:val="24"/>
                <w:szCs w:val="24"/>
              </w:rPr>
              <w:t>：详见“第一章 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895" w:type="dxa"/>
            <w:vAlign w:val="center"/>
          </w:tcPr>
          <w:p>
            <w:pPr>
              <w:adjustRightInd w:val="0"/>
              <w:snapToGrid w:val="0"/>
              <w:spacing w:line="276" w:lineRule="auto"/>
              <w:jc w:val="center"/>
              <w:rPr>
                <w:rFonts w:ascii="宋体" w:hAnsi="宋体"/>
                <w:sz w:val="24"/>
                <w:szCs w:val="24"/>
              </w:rPr>
            </w:pPr>
            <w:r>
              <w:rPr>
                <w:rFonts w:hint="eastAsia" w:ascii="宋体" w:hAnsi="宋体"/>
                <w:sz w:val="24"/>
                <w:szCs w:val="24"/>
              </w:rPr>
              <w:t>7</w:t>
            </w:r>
          </w:p>
        </w:tc>
        <w:tc>
          <w:tcPr>
            <w:tcW w:w="8100" w:type="dxa"/>
            <w:vAlign w:val="center"/>
          </w:tcPr>
          <w:p>
            <w:pPr>
              <w:spacing w:line="400" w:lineRule="exact"/>
              <w:rPr>
                <w:rFonts w:ascii="宋体" w:hAnsi="宋体"/>
                <w:sz w:val="24"/>
                <w:szCs w:val="24"/>
              </w:rPr>
            </w:pPr>
            <w:r>
              <w:rPr>
                <w:rFonts w:hint="eastAsia" w:ascii="宋体" w:hAnsi="宋体"/>
                <w:b/>
                <w:bCs/>
                <w:sz w:val="24"/>
                <w:szCs w:val="24"/>
              </w:rPr>
              <w:t>付款方式：</w:t>
            </w:r>
            <w:r>
              <w:rPr>
                <w:rFonts w:hint="eastAsia" w:ascii="宋体" w:hAnsi="宋体" w:cs="宋体"/>
                <w:sz w:val="24"/>
                <w:szCs w:val="24"/>
              </w:rPr>
              <w:t>见合同条款。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895" w:type="dxa"/>
            <w:vAlign w:val="center"/>
          </w:tcPr>
          <w:p>
            <w:pPr>
              <w:adjustRightInd w:val="0"/>
              <w:snapToGrid w:val="0"/>
              <w:spacing w:line="276" w:lineRule="auto"/>
              <w:jc w:val="center"/>
              <w:rPr>
                <w:rFonts w:ascii="宋体" w:hAnsi="宋体"/>
                <w:sz w:val="24"/>
                <w:szCs w:val="24"/>
              </w:rPr>
            </w:pPr>
            <w:r>
              <w:rPr>
                <w:rFonts w:hint="eastAsia" w:ascii="宋体" w:hAnsi="宋体"/>
                <w:sz w:val="24"/>
                <w:szCs w:val="24"/>
              </w:rPr>
              <w:t>8</w:t>
            </w:r>
          </w:p>
        </w:tc>
        <w:tc>
          <w:tcPr>
            <w:tcW w:w="8100" w:type="dxa"/>
            <w:vAlign w:val="center"/>
          </w:tcPr>
          <w:p>
            <w:pPr>
              <w:spacing w:line="400" w:lineRule="exact"/>
              <w:rPr>
                <w:rFonts w:ascii="宋体" w:hAnsi="宋体"/>
                <w:b/>
                <w:bCs/>
                <w:color w:val="FF0000"/>
                <w:sz w:val="24"/>
                <w:szCs w:val="24"/>
              </w:rPr>
            </w:pPr>
            <w:r>
              <w:rPr>
                <w:rFonts w:hint="eastAsia" w:ascii="宋体" w:hAnsi="宋体"/>
                <w:b/>
                <w:bCs/>
                <w:sz w:val="24"/>
                <w:szCs w:val="24"/>
              </w:rPr>
              <w:t>供货周期：</w:t>
            </w:r>
            <w:r>
              <w:rPr>
                <w:rFonts w:hint="eastAsia" w:ascii="宋体" w:hAnsi="宋体"/>
                <w:b/>
                <w:bCs/>
                <w:color w:val="FF0000"/>
                <w:sz w:val="24"/>
                <w:szCs w:val="24"/>
                <w:u w:val="single"/>
              </w:rPr>
              <w:t xml:space="preserve"> 30  </w:t>
            </w:r>
            <w:r>
              <w:rPr>
                <w:rFonts w:hint="eastAsia" w:ascii="宋体" w:hAnsi="宋体"/>
                <w:b/>
                <w:bCs/>
                <w:sz w:val="24"/>
                <w:szCs w:val="24"/>
              </w:rPr>
              <w:t>个自然日，具体以甲方通知时间为准。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895" w:type="dxa"/>
            <w:vAlign w:val="center"/>
          </w:tcPr>
          <w:p>
            <w:pPr>
              <w:adjustRightInd w:val="0"/>
              <w:snapToGrid w:val="0"/>
              <w:spacing w:line="276" w:lineRule="auto"/>
              <w:jc w:val="center"/>
              <w:rPr>
                <w:rFonts w:ascii="宋体" w:hAnsi="宋体"/>
                <w:sz w:val="24"/>
                <w:szCs w:val="24"/>
              </w:rPr>
            </w:pPr>
            <w:r>
              <w:rPr>
                <w:rFonts w:hint="eastAsia" w:ascii="宋体" w:hAnsi="宋体"/>
                <w:sz w:val="24"/>
                <w:szCs w:val="24"/>
              </w:rPr>
              <w:t>9</w:t>
            </w:r>
          </w:p>
        </w:tc>
        <w:tc>
          <w:tcPr>
            <w:tcW w:w="8100" w:type="dxa"/>
            <w:vAlign w:val="center"/>
          </w:tcPr>
          <w:p>
            <w:pPr>
              <w:spacing w:line="360" w:lineRule="auto"/>
              <w:jc w:val="left"/>
              <w:rPr>
                <w:rFonts w:ascii="宋体" w:hAnsi="宋体" w:cs="宋体"/>
                <w:sz w:val="24"/>
                <w:szCs w:val="24"/>
              </w:rPr>
            </w:pPr>
            <w:r>
              <w:rPr>
                <w:rFonts w:hint="eastAsia" w:asciiTheme="majorEastAsia" w:hAnsiTheme="majorEastAsia" w:eastAsiaTheme="majorEastAsia" w:cstheme="majorEastAsia"/>
                <w:b/>
                <w:bCs/>
                <w:sz w:val="24"/>
                <w:szCs w:val="24"/>
              </w:rPr>
              <w:t>技术要求</w:t>
            </w:r>
            <w:r>
              <w:rPr>
                <w:rFonts w:hint="eastAsia" w:asciiTheme="majorEastAsia" w:hAnsiTheme="majorEastAsia" w:eastAsiaTheme="majorEastAsia" w:cstheme="majorEastAsia"/>
                <w:sz w:val="24"/>
                <w:szCs w:val="24"/>
              </w:rPr>
              <w:t>：</w:t>
            </w:r>
            <w:r>
              <w:rPr>
                <w:rFonts w:hint="eastAsia" w:ascii="宋体" w:hAnsi="宋体" w:cs="宋体"/>
                <w:sz w:val="24"/>
                <w:szCs w:val="24"/>
              </w:rPr>
              <w:t>1.有完整制作设备，满足设计工艺要求。</w:t>
            </w:r>
          </w:p>
          <w:p>
            <w:pPr>
              <w:spacing w:line="360" w:lineRule="auto"/>
              <w:jc w:val="left"/>
              <w:rPr>
                <w:rFonts w:asciiTheme="majorEastAsia" w:hAnsiTheme="majorEastAsia" w:eastAsiaTheme="majorEastAsia" w:cstheme="majorEastAsia"/>
                <w:b/>
                <w:bCs/>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成品质量符合设计要求，干净光洁、无缺漏、不歪斜、不错位。</w:t>
            </w:r>
          </w:p>
        </w:tc>
      </w:tr>
    </w:tbl>
    <w:p>
      <w:pPr>
        <w:pStyle w:val="6"/>
        <w:spacing w:before="0" w:after="0" w:line="460" w:lineRule="exact"/>
        <w:rPr>
          <w:rFonts w:ascii="宋体" w:hAnsi="宋体" w:eastAsia="宋体"/>
          <w:sz w:val="24"/>
        </w:rPr>
      </w:pPr>
    </w:p>
    <w:p>
      <w:pPr>
        <w:rPr>
          <w:szCs w:val="32"/>
        </w:rPr>
      </w:pPr>
      <w:r>
        <w:br w:type="page"/>
      </w:r>
    </w:p>
    <w:p>
      <w:pPr>
        <w:pStyle w:val="6"/>
        <w:spacing w:before="0" w:after="0" w:line="460" w:lineRule="exact"/>
        <w:jc w:val="center"/>
        <w:rPr>
          <w:rFonts w:ascii="宋体" w:hAnsi="宋体" w:eastAsia="宋体"/>
          <w:sz w:val="28"/>
          <w:szCs w:val="28"/>
        </w:rPr>
      </w:pPr>
      <w:bookmarkStart w:id="6" w:name="_Toc48722653"/>
      <w:r>
        <w:rPr>
          <w:rFonts w:hint="eastAsia" w:ascii="宋体" w:hAnsi="宋体" w:eastAsia="宋体"/>
          <w:sz w:val="28"/>
          <w:szCs w:val="28"/>
        </w:rPr>
        <w:t>二、说明</w:t>
      </w:r>
      <w:bookmarkEnd w:id="6"/>
    </w:p>
    <w:p>
      <w:pPr>
        <w:spacing w:line="460" w:lineRule="exact"/>
        <w:rPr>
          <w:rFonts w:ascii="宋体" w:hAnsi="宋体"/>
          <w:b/>
          <w:sz w:val="24"/>
          <w:szCs w:val="24"/>
        </w:rPr>
      </w:pPr>
      <w:r>
        <w:rPr>
          <w:rFonts w:hint="eastAsia" w:ascii="宋体" w:hAnsi="宋体"/>
          <w:b/>
          <w:sz w:val="24"/>
          <w:szCs w:val="24"/>
        </w:rPr>
        <w:t>1. 适用范围</w:t>
      </w:r>
    </w:p>
    <w:p>
      <w:pPr>
        <w:spacing w:line="460" w:lineRule="exact"/>
        <w:ind w:firstLine="360" w:firstLineChars="150"/>
        <w:rPr>
          <w:rFonts w:ascii="宋体" w:hAnsi="宋体"/>
          <w:sz w:val="24"/>
          <w:szCs w:val="24"/>
        </w:rPr>
      </w:pPr>
      <w:r>
        <w:rPr>
          <w:rFonts w:hint="eastAsia" w:ascii="宋体" w:hAnsi="宋体"/>
          <w:sz w:val="24"/>
          <w:szCs w:val="24"/>
        </w:rPr>
        <w:t>本磋商文件仅适用于本“磋商邀请”中所述有关货物的采购。</w:t>
      </w:r>
    </w:p>
    <w:p>
      <w:pPr>
        <w:spacing w:line="460" w:lineRule="exact"/>
        <w:rPr>
          <w:rFonts w:ascii="宋体" w:hAnsi="宋体"/>
          <w:b/>
          <w:sz w:val="24"/>
          <w:szCs w:val="24"/>
        </w:rPr>
      </w:pPr>
      <w:r>
        <w:rPr>
          <w:rFonts w:hint="eastAsia" w:ascii="宋体" w:hAnsi="宋体"/>
          <w:b/>
          <w:sz w:val="24"/>
          <w:szCs w:val="24"/>
        </w:rPr>
        <w:t>2. 定义</w:t>
      </w:r>
    </w:p>
    <w:p>
      <w:pPr>
        <w:spacing w:line="460" w:lineRule="exact"/>
        <w:ind w:left="510" w:hanging="510"/>
        <w:rPr>
          <w:rFonts w:ascii="宋体" w:hAnsi="宋体"/>
          <w:sz w:val="24"/>
          <w:szCs w:val="24"/>
        </w:rPr>
      </w:pPr>
      <w:r>
        <w:rPr>
          <w:rFonts w:ascii="宋体" w:hAnsi="宋体"/>
          <w:sz w:val="24"/>
          <w:szCs w:val="24"/>
        </w:rPr>
        <w:t>2.1</w:t>
      </w:r>
      <w:r>
        <w:rPr>
          <w:rFonts w:hint="eastAsia" w:ascii="宋体" w:hAnsi="宋体"/>
          <w:sz w:val="24"/>
          <w:szCs w:val="24"/>
        </w:rPr>
        <w:t>采购人：详见“供应商须知前附表”</w:t>
      </w:r>
    </w:p>
    <w:p>
      <w:pPr>
        <w:spacing w:line="460" w:lineRule="exact"/>
        <w:ind w:left="510" w:hanging="510"/>
        <w:rPr>
          <w:rFonts w:ascii="宋体" w:hAnsi="宋体"/>
          <w:sz w:val="24"/>
          <w:szCs w:val="24"/>
        </w:rPr>
      </w:pPr>
      <w:r>
        <w:rPr>
          <w:rFonts w:hint="eastAsia" w:ascii="宋体" w:hAnsi="宋体"/>
          <w:sz w:val="24"/>
          <w:szCs w:val="24"/>
        </w:rPr>
        <w:t>2.2供应商：是指向采购人提供“磋商邀请”中采购内容的法人、其它组织或者自然人。</w:t>
      </w:r>
    </w:p>
    <w:p>
      <w:pPr>
        <w:spacing w:line="460" w:lineRule="exact"/>
        <w:rPr>
          <w:rFonts w:ascii="宋体" w:hAnsi="宋体"/>
          <w:b/>
          <w:sz w:val="24"/>
          <w:szCs w:val="24"/>
        </w:rPr>
      </w:pPr>
      <w:r>
        <w:rPr>
          <w:rFonts w:hint="eastAsia" w:ascii="宋体" w:hAnsi="宋体"/>
          <w:b/>
          <w:sz w:val="24"/>
          <w:szCs w:val="24"/>
        </w:rPr>
        <w:t>3. 合格供应商</w:t>
      </w:r>
    </w:p>
    <w:p>
      <w:pPr>
        <w:spacing w:line="460" w:lineRule="exact"/>
        <w:rPr>
          <w:rFonts w:ascii="宋体" w:hAnsi="宋体"/>
          <w:sz w:val="24"/>
          <w:szCs w:val="24"/>
        </w:rPr>
      </w:pPr>
      <w:r>
        <w:rPr>
          <w:rFonts w:hint="eastAsia" w:ascii="宋体" w:hAnsi="宋体"/>
          <w:sz w:val="24"/>
          <w:szCs w:val="24"/>
        </w:rPr>
        <w:t>3.1供应商的资格条件：详见“磋商邀请”。</w:t>
      </w:r>
    </w:p>
    <w:p>
      <w:pPr>
        <w:spacing w:line="460" w:lineRule="exact"/>
        <w:rPr>
          <w:rFonts w:ascii="宋体" w:hAnsi="宋体"/>
          <w:b/>
          <w:sz w:val="24"/>
          <w:szCs w:val="24"/>
        </w:rPr>
      </w:pPr>
      <w:r>
        <w:rPr>
          <w:rFonts w:hint="eastAsia" w:ascii="宋体" w:hAnsi="宋体"/>
          <w:b/>
          <w:sz w:val="24"/>
          <w:szCs w:val="24"/>
        </w:rPr>
        <w:t>4. 供应商代表</w:t>
      </w:r>
    </w:p>
    <w:p>
      <w:pPr>
        <w:spacing w:line="460" w:lineRule="exact"/>
        <w:ind w:left="454" w:leftChars="216"/>
        <w:jc w:val="left"/>
        <w:rPr>
          <w:rFonts w:ascii="宋体" w:hAnsi="宋体"/>
          <w:sz w:val="24"/>
          <w:szCs w:val="24"/>
        </w:rPr>
      </w:pPr>
      <w:r>
        <w:rPr>
          <w:rFonts w:hint="eastAsia" w:ascii="宋体" w:hAnsi="宋体"/>
          <w:sz w:val="24"/>
          <w:szCs w:val="24"/>
        </w:rPr>
        <w:t>指全权代表供应商参加磋商活动并签署响应文件的人。如果供应商代表不是法定代表人，须持有《法定代表人授权书》（格式详见“第四章 响应文件格式”）。</w:t>
      </w:r>
    </w:p>
    <w:p>
      <w:pPr>
        <w:pStyle w:val="2"/>
        <w:numPr>
          <w:ilvl w:val="0"/>
          <w:numId w:val="4"/>
        </w:numPr>
        <w:ind w:left="0" w:leftChars="0" w:firstLine="0" w:firstLineChars="0"/>
        <w:rPr>
          <w:rFonts w:ascii="宋体" w:hAnsi="宋体" w:cs="宋体"/>
          <w:b/>
          <w:bCs/>
          <w:sz w:val="24"/>
          <w:szCs w:val="24"/>
        </w:rPr>
      </w:pPr>
      <w:r>
        <w:rPr>
          <w:rFonts w:hint="eastAsia" w:ascii="宋体" w:hAnsi="宋体" w:cs="宋体"/>
          <w:b/>
          <w:bCs/>
          <w:sz w:val="24"/>
          <w:szCs w:val="24"/>
        </w:rPr>
        <w:t>技术要求</w:t>
      </w:r>
    </w:p>
    <w:p>
      <w:pPr>
        <w:spacing w:line="460" w:lineRule="exact"/>
        <w:ind w:left="454" w:leftChars="216"/>
        <w:jc w:val="left"/>
        <w:rPr>
          <w:rFonts w:ascii="宋体" w:hAnsi="宋体"/>
          <w:b/>
          <w:bCs/>
          <w:sz w:val="24"/>
          <w:szCs w:val="24"/>
        </w:rPr>
      </w:pPr>
      <w:r>
        <w:rPr>
          <w:rFonts w:hint="eastAsia" w:ascii="宋体" w:hAnsi="宋体"/>
          <w:b/>
          <w:bCs/>
          <w:sz w:val="24"/>
          <w:szCs w:val="24"/>
        </w:rPr>
        <w:t>5.1沙盘整体：</w:t>
      </w:r>
    </w:p>
    <w:p>
      <w:pPr>
        <w:spacing w:line="460" w:lineRule="exact"/>
        <w:ind w:left="454" w:leftChars="216"/>
        <w:jc w:val="left"/>
        <w:rPr>
          <w:rFonts w:ascii="宋体" w:hAnsi="宋体"/>
          <w:b/>
          <w:bCs/>
          <w:sz w:val="24"/>
          <w:szCs w:val="24"/>
        </w:rPr>
      </w:pPr>
      <w:r>
        <w:rPr>
          <w:rFonts w:hint="eastAsia" w:ascii="宋体" w:hAnsi="宋体"/>
          <w:b/>
          <w:bCs/>
          <w:sz w:val="24"/>
          <w:szCs w:val="24"/>
        </w:rPr>
        <w:t>5.2总规模型面积：</w:t>
      </w:r>
      <w:r>
        <w:rPr>
          <w:rFonts w:hint="eastAsia" w:ascii="宋体" w:hAnsi="宋体"/>
          <w:b/>
          <w:bCs/>
          <w:color w:val="FF0000"/>
          <w:sz w:val="24"/>
          <w:szCs w:val="24"/>
          <w:u w:val="single"/>
        </w:rPr>
        <w:t xml:space="preserve"> 5平方左右 （含爵士白石材底座） </w:t>
      </w:r>
      <w:r>
        <w:rPr>
          <w:rFonts w:hint="eastAsia" w:ascii="宋体" w:hAnsi="宋体"/>
          <w:b/>
          <w:bCs/>
          <w:sz w:val="24"/>
          <w:szCs w:val="24"/>
        </w:rPr>
        <w:t>。</w:t>
      </w:r>
    </w:p>
    <w:p>
      <w:pPr>
        <w:spacing w:line="460" w:lineRule="exact"/>
        <w:ind w:left="454" w:leftChars="216"/>
        <w:jc w:val="left"/>
        <w:rPr>
          <w:rFonts w:ascii="宋体" w:hAnsi="宋体"/>
          <w:b/>
          <w:bCs/>
          <w:sz w:val="24"/>
          <w:szCs w:val="24"/>
        </w:rPr>
      </w:pPr>
      <w:r>
        <w:rPr>
          <w:rFonts w:hint="eastAsia" w:ascii="宋体" w:hAnsi="宋体"/>
          <w:b/>
          <w:bCs/>
          <w:sz w:val="24"/>
          <w:szCs w:val="24"/>
        </w:rPr>
        <w:t>5.3总规模比例和范围：环境制作比例、建筑制作比例建议按实际测量尺寸以及最佳展示效果为准,</w:t>
      </w:r>
      <w:r>
        <w:rPr>
          <w:rFonts w:hint="eastAsia"/>
        </w:rPr>
        <w:t xml:space="preserve"> </w:t>
      </w:r>
      <w:r>
        <w:rPr>
          <w:rFonts w:hint="eastAsia" w:ascii="宋体" w:hAnsi="宋体"/>
          <w:b/>
          <w:bCs/>
          <w:sz w:val="24"/>
          <w:szCs w:val="24"/>
        </w:rPr>
        <w:t>尺寸约：3.0M*2.0M，含爵士白石材底座和玻璃围边。</w:t>
      </w:r>
    </w:p>
    <w:p>
      <w:pPr>
        <w:spacing w:line="460" w:lineRule="exact"/>
        <w:ind w:left="454" w:leftChars="216"/>
        <w:jc w:val="left"/>
        <w:rPr>
          <w:rFonts w:ascii="宋体" w:hAnsi="宋体"/>
          <w:b/>
          <w:bCs/>
          <w:sz w:val="24"/>
          <w:szCs w:val="24"/>
        </w:rPr>
      </w:pPr>
      <w:r>
        <w:rPr>
          <w:rFonts w:hint="eastAsia" w:ascii="宋体" w:hAnsi="宋体"/>
          <w:b/>
          <w:bCs/>
          <w:sz w:val="24"/>
          <w:szCs w:val="24"/>
        </w:rPr>
        <w:t>5.4设计方案须结合甲方医院相关图纸，建筑适当缩放，做工精细，高档，可以在材质上采用特殊的表现手法以突出档次和艺术效果。沙盘整体属于写实制作。</w:t>
      </w:r>
    </w:p>
    <w:p>
      <w:pPr>
        <w:spacing w:line="460" w:lineRule="exact"/>
        <w:ind w:left="454" w:leftChars="216"/>
        <w:jc w:val="left"/>
        <w:rPr>
          <w:rFonts w:ascii="宋体" w:hAnsi="宋体"/>
          <w:b/>
          <w:bCs/>
          <w:sz w:val="24"/>
          <w:szCs w:val="24"/>
        </w:rPr>
      </w:pPr>
      <w:r>
        <w:rPr>
          <w:rFonts w:hint="eastAsia" w:ascii="宋体" w:hAnsi="宋体"/>
          <w:b/>
          <w:bCs/>
          <w:sz w:val="24"/>
          <w:szCs w:val="24"/>
        </w:rPr>
        <w:t>5.5建筑：</w:t>
      </w:r>
    </w:p>
    <w:p>
      <w:pPr>
        <w:spacing w:line="460" w:lineRule="exact"/>
        <w:ind w:left="454" w:leftChars="216"/>
        <w:jc w:val="left"/>
        <w:rPr>
          <w:rFonts w:ascii="宋体" w:hAnsi="宋体"/>
          <w:b/>
          <w:bCs/>
          <w:sz w:val="24"/>
          <w:szCs w:val="24"/>
        </w:rPr>
      </w:pPr>
      <w:r>
        <w:rPr>
          <w:rFonts w:hint="eastAsia" w:ascii="宋体" w:hAnsi="宋体"/>
          <w:b/>
          <w:bCs/>
          <w:sz w:val="24"/>
          <w:szCs w:val="24"/>
        </w:rPr>
        <w:t>①模型整体需讲究真实性，凸出表现建筑外形的大气、线条的流畅性；</w:t>
      </w:r>
    </w:p>
    <w:p>
      <w:pPr>
        <w:spacing w:line="460" w:lineRule="exact"/>
        <w:ind w:left="454" w:leftChars="216"/>
        <w:jc w:val="left"/>
        <w:rPr>
          <w:rFonts w:ascii="宋体" w:hAnsi="宋体"/>
          <w:b/>
          <w:bCs/>
          <w:sz w:val="24"/>
          <w:szCs w:val="24"/>
        </w:rPr>
      </w:pPr>
      <w:r>
        <w:rPr>
          <w:rFonts w:hint="eastAsia" w:ascii="宋体" w:hAnsi="宋体"/>
          <w:b/>
          <w:bCs/>
          <w:sz w:val="24"/>
          <w:szCs w:val="24"/>
        </w:rPr>
        <w:t>②模型外墙按甲方提供的图纸写实制作；</w:t>
      </w:r>
    </w:p>
    <w:p>
      <w:pPr>
        <w:spacing w:line="460" w:lineRule="exact"/>
        <w:ind w:left="454" w:leftChars="216"/>
        <w:jc w:val="left"/>
        <w:rPr>
          <w:rFonts w:ascii="宋体" w:hAnsi="宋体"/>
          <w:b/>
          <w:bCs/>
          <w:sz w:val="24"/>
          <w:szCs w:val="24"/>
        </w:rPr>
      </w:pPr>
      <w:r>
        <w:rPr>
          <w:rFonts w:hint="eastAsia" w:ascii="宋体" w:hAnsi="宋体"/>
          <w:b/>
          <w:bCs/>
          <w:sz w:val="24"/>
          <w:szCs w:val="24"/>
        </w:rPr>
        <w:t>③建筑细部真实体现，真实详细表现建筑外形及细部，包括门窗、玻璃、装饰性凸凹线脚、栏杆、外墙面砖、石材、架空层等；</w:t>
      </w:r>
    </w:p>
    <w:p>
      <w:pPr>
        <w:spacing w:line="460" w:lineRule="exact"/>
        <w:ind w:left="454" w:leftChars="216"/>
        <w:jc w:val="left"/>
        <w:rPr>
          <w:rFonts w:ascii="宋体" w:hAnsi="宋体"/>
          <w:b/>
          <w:bCs/>
          <w:sz w:val="24"/>
          <w:szCs w:val="24"/>
        </w:rPr>
      </w:pPr>
      <w:r>
        <w:rPr>
          <w:rFonts w:hint="eastAsia" w:ascii="宋体" w:hAnsi="宋体"/>
          <w:b/>
          <w:bCs/>
          <w:sz w:val="24"/>
          <w:szCs w:val="24"/>
        </w:rPr>
        <w:t>④建筑内部设计灯光采用LED灯光制作，使建筑光源更加饱满柔和和视觉感更优。建筑顶部线脚安装隐藏式暖色常亮灯源；</w:t>
      </w:r>
    </w:p>
    <w:p>
      <w:pPr>
        <w:spacing w:line="460" w:lineRule="exact"/>
        <w:ind w:left="454" w:leftChars="216"/>
        <w:jc w:val="left"/>
        <w:rPr>
          <w:rFonts w:ascii="宋体" w:hAnsi="宋体"/>
          <w:b/>
          <w:bCs/>
          <w:sz w:val="24"/>
          <w:szCs w:val="24"/>
        </w:rPr>
      </w:pPr>
      <w:r>
        <w:rPr>
          <w:rFonts w:hint="eastAsia" w:ascii="宋体" w:hAnsi="宋体"/>
          <w:b/>
          <w:bCs/>
          <w:sz w:val="24"/>
          <w:szCs w:val="24"/>
        </w:rPr>
        <w:t>⑤ABS工程塑料构成建筑物立面、围墙、围栏、立柱，压克力工程塑料构成建筑表面玻璃窗户、建筑表面。</w:t>
      </w:r>
    </w:p>
    <w:p>
      <w:pPr>
        <w:spacing w:line="460" w:lineRule="exact"/>
        <w:ind w:left="454" w:leftChars="216"/>
        <w:jc w:val="left"/>
        <w:rPr>
          <w:rFonts w:ascii="宋体" w:hAnsi="宋体"/>
          <w:b/>
          <w:bCs/>
          <w:sz w:val="24"/>
          <w:szCs w:val="24"/>
        </w:rPr>
      </w:pPr>
      <w:r>
        <w:rPr>
          <w:rFonts w:hint="eastAsia" w:ascii="宋体" w:hAnsi="宋体"/>
          <w:b/>
          <w:bCs/>
          <w:sz w:val="24"/>
          <w:szCs w:val="24"/>
        </w:rPr>
        <w:t>5.6绿化：项目内景观需乙方根据甲方提供的景观图纸写实制作；根据需要可适当拉伸和压缩地块突出对本项目的有利展示效果。树种采用纯手工铁艺造型树制作，造型多种，层次分明。人工铁丝树为主、胶树为辅（加工过）。景观需考虑合理美化拉伸空间感，彰显楼体挺拔气势。园林植物造景主次分明、疏密有度。“先面后点，先主后宾，远近结合”。从乔木层到亚乔木层，再到灌木层、草木花卉层，最后铺设草坪。每个植物组团设置不同季相的植物，突出一季景观，兼顾其他三季。增加植物多样性，包括植物景观层次、植物品种的多样性，色彩上依然为木色系。</w:t>
      </w:r>
    </w:p>
    <w:p>
      <w:pPr>
        <w:spacing w:line="460" w:lineRule="exact"/>
        <w:ind w:left="454" w:leftChars="216"/>
        <w:jc w:val="left"/>
        <w:rPr>
          <w:rFonts w:ascii="宋体" w:hAnsi="宋体"/>
          <w:b/>
          <w:bCs/>
          <w:sz w:val="24"/>
          <w:szCs w:val="24"/>
        </w:rPr>
      </w:pPr>
      <w:r>
        <w:rPr>
          <w:rFonts w:hint="eastAsia" w:ascii="宋体" w:hAnsi="宋体"/>
          <w:b/>
          <w:bCs/>
          <w:sz w:val="24"/>
          <w:szCs w:val="24"/>
        </w:rPr>
        <w:t>道路：根据图纸规划进行写实制作；</w:t>
      </w:r>
    </w:p>
    <w:p>
      <w:pPr>
        <w:spacing w:line="460" w:lineRule="exact"/>
        <w:ind w:left="454" w:leftChars="216"/>
        <w:jc w:val="left"/>
        <w:rPr>
          <w:rFonts w:ascii="宋体" w:hAnsi="宋体"/>
          <w:b/>
          <w:bCs/>
          <w:sz w:val="24"/>
          <w:szCs w:val="24"/>
        </w:rPr>
      </w:pPr>
      <w:r>
        <w:rPr>
          <w:rFonts w:hint="eastAsia" w:ascii="宋体" w:hAnsi="宋体"/>
          <w:b/>
          <w:bCs/>
          <w:sz w:val="24"/>
          <w:szCs w:val="24"/>
        </w:rPr>
        <w:t>5.7灯光：分项手工控制，项目灯光、公共设施部分灯光、园林水景灯光、交通灯光等几部分。铺砖马路以及水系采用植入暗埋式满铺动感编程流动灯光。</w:t>
      </w:r>
    </w:p>
    <w:p>
      <w:pPr>
        <w:spacing w:line="460" w:lineRule="exact"/>
        <w:ind w:left="454" w:leftChars="216"/>
        <w:jc w:val="left"/>
        <w:rPr>
          <w:rFonts w:ascii="宋体" w:hAnsi="宋体"/>
          <w:b/>
          <w:bCs/>
          <w:sz w:val="24"/>
          <w:szCs w:val="24"/>
        </w:rPr>
      </w:pPr>
      <w:r>
        <w:rPr>
          <w:rFonts w:hint="eastAsia" w:ascii="宋体" w:hAnsi="宋体"/>
          <w:b/>
          <w:bCs/>
          <w:sz w:val="24"/>
          <w:szCs w:val="24"/>
        </w:rPr>
        <w:t>5.8水景：采用玻璃材质制作，能体现出稍许波纹。</w:t>
      </w:r>
    </w:p>
    <w:p>
      <w:pPr>
        <w:spacing w:line="460" w:lineRule="exact"/>
        <w:ind w:left="454" w:leftChars="216"/>
        <w:jc w:val="left"/>
        <w:rPr>
          <w:rFonts w:ascii="宋体" w:hAnsi="宋体"/>
          <w:b/>
          <w:bCs/>
          <w:sz w:val="24"/>
          <w:szCs w:val="24"/>
        </w:rPr>
      </w:pPr>
      <w:r>
        <w:rPr>
          <w:rFonts w:hint="eastAsia" w:ascii="宋体" w:hAnsi="宋体"/>
          <w:b/>
          <w:bCs/>
          <w:sz w:val="24"/>
          <w:szCs w:val="24"/>
        </w:rPr>
        <w:t>5.9底盘：ABS工程塑料构成模型底盘总平面雕刻，九厘板构成底盘平面、密度板夹层，杉木松木构成底盘支架、边框。</w:t>
      </w:r>
    </w:p>
    <w:p>
      <w:pPr>
        <w:spacing w:line="460" w:lineRule="exact"/>
        <w:ind w:left="454" w:leftChars="216"/>
        <w:jc w:val="left"/>
        <w:rPr>
          <w:rFonts w:hint="eastAsia" w:ascii="宋体" w:hAnsi="宋体"/>
          <w:b/>
          <w:bCs/>
          <w:sz w:val="24"/>
          <w:szCs w:val="24"/>
        </w:rPr>
      </w:pPr>
      <w:r>
        <w:rPr>
          <w:rFonts w:hint="eastAsia" w:ascii="宋体" w:hAnsi="宋体"/>
          <w:b/>
          <w:bCs/>
          <w:sz w:val="24"/>
          <w:szCs w:val="24"/>
        </w:rPr>
        <w:t>5.10模型底座需做防潮处理，模型需要做防火绝缘处理，模型公司需根据现场情况考虑检修通道设置。</w:t>
      </w:r>
      <w:r>
        <w:rPr>
          <w:rFonts w:ascii="宋体" w:hAnsi="宋体"/>
          <w:sz w:val="28"/>
          <w:szCs w:val="28"/>
        </w:rPr>
        <w:br w:type="textWrapping"/>
      </w:r>
    </w:p>
    <w:p>
      <w:pPr>
        <w:pStyle w:val="2"/>
        <w:ind w:left="0" w:leftChars="0" w:firstLine="0" w:firstLineChars="0"/>
        <w:rPr>
          <w:rFonts w:hint="eastAsia"/>
        </w:rPr>
      </w:pPr>
    </w:p>
    <w:p>
      <w:pPr>
        <w:pStyle w:val="2"/>
        <w:ind w:left="0" w:leftChars="0" w:firstLine="0" w:firstLineChars="0"/>
        <w:rPr>
          <w:rFonts w:hint="eastAsia"/>
        </w:rPr>
      </w:pPr>
    </w:p>
    <w:p>
      <w:pPr>
        <w:pStyle w:val="6"/>
        <w:numPr>
          <w:ilvl w:val="0"/>
          <w:numId w:val="5"/>
        </w:numPr>
        <w:spacing w:before="0" w:after="0" w:line="460" w:lineRule="exact"/>
        <w:jc w:val="center"/>
        <w:rPr>
          <w:rFonts w:ascii="宋体" w:hAnsi="宋体" w:eastAsia="宋体"/>
          <w:sz w:val="28"/>
          <w:szCs w:val="28"/>
        </w:rPr>
      </w:pPr>
      <w:bookmarkStart w:id="7" w:name="_Toc48722654"/>
      <w:r>
        <w:rPr>
          <w:rFonts w:hint="eastAsia" w:ascii="宋体" w:hAnsi="宋体" w:eastAsia="宋体"/>
          <w:sz w:val="28"/>
          <w:szCs w:val="28"/>
        </w:rPr>
        <w:t>商务条款</w:t>
      </w:r>
      <w:bookmarkEnd w:id="7"/>
    </w:p>
    <w:p>
      <w:pPr>
        <w:spacing w:line="460" w:lineRule="exact"/>
        <w:ind w:left="454" w:leftChars="216"/>
        <w:jc w:val="left"/>
        <w:rPr>
          <w:rFonts w:hint="eastAsia" w:ascii="宋体" w:hAnsi="宋体"/>
          <w:b/>
          <w:bCs/>
          <w:sz w:val="24"/>
          <w:szCs w:val="24"/>
        </w:rPr>
      </w:pPr>
      <w:r>
        <w:rPr>
          <w:rFonts w:hint="eastAsia" w:ascii="宋体" w:hAnsi="宋体"/>
          <w:b/>
          <w:bCs/>
          <w:sz w:val="24"/>
          <w:szCs w:val="24"/>
        </w:rPr>
        <w:t>1.付款方式：全部沙盘模型安装完成后，提交验收报告并经甲方确认后25个工作日内付至合同金额的90%；质保期结束25个工作日内付清剩余全部费用。每次付款前，乙方必须提供税务部门开具的正式发票。</w:t>
      </w:r>
    </w:p>
    <w:p>
      <w:pPr>
        <w:spacing w:line="460" w:lineRule="exact"/>
        <w:ind w:left="454" w:leftChars="216"/>
        <w:jc w:val="left"/>
        <w:rPr>
          <w:rFonts w:hint="eastAsia" w:ascii="宋体" w:hAnsi="宋体"/>
          <w:b/>
          <w:bCs/>
          <w:sz w:val="24"/>
          <w:szCs w:val="24"/>
        </w:rPr>
      </w:pPr>
      <w:r>
        <w:rPr>
          <w:rFonts w:hint="eastAsia" w:ascii="宋体" w:hAnsi="宋体"/>
          <w:b/>
          <w:bCs/>
          <w:sz w:val="24"/>
          <w:szCs w:val="24"/>
        </w:rPr>
        <w:t xml:space="preserve"> 2.质量保证期：质保期1年。</w:t>
      </w:r>
    </w:p>
    <w:p>
      <w:pPr>
        <w:spacing w:line="460" w:lineRule="exact"/>
        <w:ind w:left="454" w:leftChars="216"/>
        <w:jc w:val="left"/>
        <w:rPr>
          <w:rFonts w:hint="eastAsia" w:ascii="宋体" w:hAnsi="宋体"/>
          <w:b/>
          <w:bCs/>
          <w:sz w:val="24"/>
          <w:szCs w:val="24"/>
        </w:rPr>
      </w:pPr>
      <w:r>
        <w:rPr>
          <w:rFonts w:hint="eastAsia" w:ascii="宋体" w:hAnsi="宋体"/>
          <w:b/>
          <w:bCs/>
          <w:sz w:val="24"/>
          <w:szCs w:val="24"/>
        </w:rPr>
        <w:t>3. 交货期：合同签订后30个自然天内制作完成全部工作，具体到货安装时间以甲方通知时间为准，安装时间须在24小时内完成，并经采购人验收合格。</w:t>
      </w:r>
    </w:p>
    <w:p>
      <w:pPr>
        <w:spacing w:line="460" w:lineRule="exact"/>
        <w:ind w:left="454" w:leftChars="216"/>
        <w:jc w:val="left"/>
        <w:rPr>
          <w:rFonts w:hint="eastAsia" w:ascii="宋体" w:hAnsi="宋体"/>
          <w:b/>
          <w:bCs/>
          <w:sz w:val="24"/>
          <w:szCs w:val="24"/>
        </w:rPr>
      </w:pPr>
      <w:r>
        <w:rPr>
          <w:rFonts w:hint="eastAsia" w:ascii="宋体" w:hAnsi="宋体"/>
          <w:b/>
          <w:bCs/>
          <w:sz w:val="24"/>
          <w:szCs w:val="24"/>
        </w:rPr>
        <w:t>4.交货地点：采购人或用户指定地点。</w:t>
      </w:r>
    </w:p>
    <w:p>
      <w:pPr>
        <w:spacing w:line="460" w:lineRule="exact"/>
        <w:ind w:left="454" w:leftChars="216"/>
        <w:jc w:val="left"/>
        <w:rPr>
          <w:rFonts w:hint="eastAsia" w:ascii="宋体" w:hAnsi="宋体"/>
          <w:b/>
          <w:bCs/>
          <w:sz w:val="24"/>
          <w:szCs w:val="24"/>
        </w:rPr>
      </w:pPr>
      <w:r>
        <w:rPr>
          <w:rFonts w:hint="eastAsia" w:ascii="宋体" w:hAnsi="宋体"/>
          <w:b/>
          <w:bCs/>
          <w:sz w:val="24"/>
          <w:szCs w:val="24"/>
        </w:rPr>
        <w:t xml:space="preserve">5.安装地点：采购人或用户指定地点。 </w:t>
      </w:r>
    </w:p>
    <w:p>
      <w:pPr>
        <w:spacing w:line="460" w:lineRule="exact"/>
        <w:ind w:left="454" w:leftChars="216"/>
        <w:jc w:val="left"/>
        <w:rPr>
          <w:rFonts w:hint="eastAsia" w:ascii="宋体" w:hAnsi="宋体"/>
          <w:b/>
          <w:bCs/>
          <w:sz w:val="24"/>
          <w:szCs w:val="24"/>
        </w:rPr>
      </w:pPr>
      <w:r>
        <w:rPr>
          <w:rFonts w:hint="eastAsia" w:ascii="宋体" w:hAnsi="宋体"/>
          <w:b/>
          <w:bCs/>
          <w:sz w:val="24"/>
          <w:szCs w:val="24"/>
        </w:rPr>
        <w:t xml:space="preserve">6.所提供的货物须为全新未使用过，符合国家相关标准的产品。 </w:t>
      </w:r>
    </w:p>
    <w:p>
      <w:pPr>
        <w:spacing w:line="460" w:lineRule="exact"/>
        <w:ind w:left="454" w:leftChars="216"/>
        <w:jc w:val="left"/>
        <w:rPr>
          <w:rFonts w:hint="eastAsia" w:ascii="宋体" w:hAnsi="宋体"/>
          <w:b/>
          <w:bCs/>
          <w:sz w:val="24"/>
          <w:szCs w:val="24"/>
        </w:rPr>
      </w:pPr>
      <w:r>
        <w:rPr>
          <w:rFonts w:hint="eastAsia" w:ascii="宋体" w:hAnsi="宋体"/>
          <w:b/>
          <w:bCs/>
          <w:sz w:val="24"/>
          <w:szCs w:val="24"/>
        </w:rPr>
        <w:t>7.所投产品若发生专利权纠纷，由成交供应商承担一切法律责任。</w:t>
      </w:r>
    </w:p>
    <w:p>
      <w:pPr>
        <w:spacing w:line="460" w:lineRule="exact"/>
        <w:ind w:left="454" w:leftChars="216"/>
        <w:jc w:val="left"/>
        <w:rPr>
          <w:rFonts w:hint="eastAsia" w:ascii="宋体" w:hAnsi="宋体"/>
          <w:b/>
          <w:bCs/>
          <w:sz w:val="24"/>
          <w:szCs w:val="24"/>
        </w:rPr>
      </w:pPr>
      <w:r>
        <w:rPr>
          <w:rFonts w:hint="eastAsia" w:ascii="宋体" w:hAnsi="宋体"/>
          <w:b/>
          <w:bCs/>
          <w:sz w:val="24"/>
          <w:szCs w:val="24"/>
        </w:rPr>
        <w:t xml:space="preserve"> 8.成交供应商须在合同规定的时间内将货物交至采购人指定的位置，有关运输和保险的 一切费用由成交供应商承担。 </w:t>
      </w:r>
    </w:p>
    <w:p>
      <w:pPr>
        <w:spacing w:line="460" w:lineRule="exact"/>
        <w:ind w:left="454" w:leftChars="216"/>
        <w:jc w:val="left"/>
        <w:rPr>
          <w:rFonts w:hint="eastAsia" w:ascii="宋体" w:hAnsi="宋体"/>
          <w:b/>
          <w:bCs/>
          <w:sz w:val="24"/>
          <w:szCs w:val="24"/>
        </w:rPr>
      </w:pPr>
      <w:r>
        <w:rPr>
          <w:rFonts w:hint="eastAsia" w:ascii="宋体" w:hAnsi="宋体"/>
          <w:b/>
          <w:bCs/>
          <w:sz w:val="24"/>
          <w:szCs w:val="24"/>
        </w:rPr>
        <w:t xml:space="preserve">9.货物到现场后，由采购人（或其授权代表）、成交供应商和相关人员共同对货物的数 量、外观、包装等进行检查，经双方书面确认初验合格后开始安装、调试。成交供应商应提供设备安装调试时所需的技术资料，且有责任在保证安全和质量的前提下提供技术支持服务。 </w:t>
      </w:r>
    </w:p>
    <w:p>
      <w:pPr>
        <w:spacing w:line="460" w:lineRule="exact"/>
        <w:ind w:left="454" w:leftChars="216"/>
        <w:jc w:val="left"/>
        <w:rPr>
          <w:rFonts w:hint="eastAsia" w:ascii="宋体" w:hAnsi="宋体"/>
          <w:b/>
          <w:bCs/>
          <w:sz w:val="24"/>
          <w:szCs w:val="24"/>
        </w:rPr>
      </w:pPr>
      <w:r>
        <w:rPr>
          <w:rFonts w:hint="eastAsia" w:ascii="宋体" w:hAnsi="宋体"/>
          <w:b/>
          <w:bCs/>
          <w:sz w:val="24"/>
          <w:szCs w:val="24"/>
        </w:rPr>
        <w:t xml:space="preserve">10.在验收过程中发现有缺陷等质量问题，应按照采购人的要求更换或退货等措施妥善处理，并承担由此发生的一切费用和损失。 </w:t>
      </w:r>
    </w:p>
    <w:p>
      <w:pPr>
        <w:spacing w:line="460" w:lineRule="exact"/>
        <w:ind w:left="454" w:leftChars="216"/>
        <w:jc w:val="left"/>
        <w:rPr>
          <w:rFonts w:hint="eastAsia" w:ascii="宋体" w:hAnsi="宋体"/>
          <w:b/>
          <w:bCs/>
          <w:sz w:val="24"/>
          <w:szCs w:val="24"/>
        </w:rPr>
      </w:pPr>
      <w:r>
        <w:rPr>
          <w:rFonts w:hint="eastAsia" w:ascii="宋体" w:hAnsi="宋体"/>
          <w:b/>
          <w:bCs/>
          <w:sz w:val="24"/>
          <w:szCs w:val="24"/>
        </w:rPr>
        <w:t xml:space="preserve">11.对于验收不合格的货物，成交供应商必须在 7 个工作日内及时完成更换并重新对更换的货物进行验收。 </w:t>
      </w:r>
    </w:p>
    <w:p>
      <w:pPr>
        <w:spacing w:line="460" w:lineRule="exact"/>
        <w:ind w:left="454" w:leftChars="216"/>
        <w:jc w:val="left"/>
        <w:rPr>
          <w:rFonts w:hint="eastAsia" w:ascii="宋体" w:hAnsi="宋体"/>
          <w:b/>
          <w:bCs/>
          <w:sz w:val="24"/>
          <w:szCs w:val="24"/>
        </w:rPr>
      </w:pPr>
      <w:r>
        <w:rPr>
          <w:rFonts w:hint="eastAsia" w:ascii="宋体" w:hAnsi="宋体"/>
          <w:b/>
          <w:bCs/>
          <w:sz w:val="24"/>
          <w:szCs w:val="24"/>
        </w:rPr>
        <w:t xml:space="preserve">12.本项目为交钥匙工程，预算中包含了安装、调试、培训等一切费用，供应商需提供相应设备的配套培训，直至用户能正常使用设备为止。 </w:t>
      </w:r>
    </w:p>
    <w:p>
      <w:pPr>
        <w:spacing w:line="460" w:lineRule="exact"/>
        <w:ind w:left="454" w:leftChars="216"/>
        <w:jc w:val="left"/>
        <w:rPr>
          <w:rFonts w:hint="eastAsia" w:ascii="宋体" w:hAnsi="宋体"/>
          <w:b/>
          <w:bCs/>
          <w:color w:val="FF0000"/>
          <w:sz w:val="24"/>
          <w:szCs w:val="24"/>
        </w:rPr>
      </w:pPr>
      <w:r>
        <w:rPr>
          <w:rFonts w:hint="eastAsia" w:ascii="宋体" w:hAnsi="宋体"/>
          <w:b/>
          <w:bCs/>
          <w:color w:val="FF0000"/>
          <w:sz w:val="24"/>
          <w:szCs w:val="24"/>
        </w:rPr>
        <w:t>注：以上技术要求及商务条款必须全部满足，否则按无效响应处理</w:t>
      </w:r>
    </w:p>
    <w:p>
      <w:pPr>
        <w:spacing w:line="460" w:lineRule="exact"/>
        <w:ind w:left="454" w:leftChars="216"/>
        <w:jc w:val="left"/>
        <w:rPr>
          <w:rFonts w:hint="eastAsia" w:ascii="宋体" w:hAnsi="宋体"/>
          <w:b/>
          <w:bCs/>
          <w:sz w:val="24"/>
          <w:szCs w:val="24"/>
        </w:rPr>
      </w:pPr>
    </w:p>
    <w:p>
      <w:pPr>
        <w:spacing w:line="460" w:lineRule="exact"/>
        <w:ind w:left="454" w:leftChars="216"/>
        <w:jc w:val="left"/>
        <w:rPr>
          <w:rFonts w:ascii="宋体" w:hAnsi="宋体"/>
          <w:b/>
          <w:bCs/>
          <w:sz w:val="24"/>
          <w:szCs w:val="24"/>
        </w:rPr>
      </w:pPr>
    </w:p>
    <w:p>
      <w:pPr>
        <w:spacing w:line="460" w:lineRule="exact"/>
        <w:ind w:left="454" w:leftChars="216"/>
        <w:jc w:val="left"/>
        <w:rPr>
          <w:rFonts w:ascii="宋体" w:hAnsi="宋体"/>
          <w:b/>
          <w:bCs/>
          <w:sz w:val="24"/>
          <w:szCs w:val="24"/>
        </w:rPr>
      </w:pPr>
    </w:p>
    <w:p>
      <w:pPr>
        <w:pStyle w:val="6"/>
        <w:numPr>
          <w:ilvl w:val="0"/>
          <w:numId w:val="5"/>
        </w:numPr>
        <w:spacing w:before="0" w:after="0" w:line="460" w:lineRule="exact"/>
        <w:jc w:val="center"/>
        <w:rPr>
          <w:rFonts w:ascii="宋体" w:hAnsi="宋体" w:eastAsia="宋体"/>
          <w:sz w:val="28"/>
          <w:szCs w:val="28"/>
        </w:rPr>
      </w:pPr>
      <w:bookmarkStart w:id="8" w:name="_Toc48722655"/>
      <w:r>
        <w:rPr>
          <w:rFonts w:hint="eastAsia" w:ascii="宋体" w:hAnsi="宋体" w:eastAsia="宋体"/>
          <w:sz w:val="28"/>
          <w:szCs w:val="28"/>
        </w:rPr>
        <w:t>磋商文件</w:t>
      </w:r>
      <w:bookmarkEnd w:id="8"/>
    </w:p>
    <w:p>
      <w:pPr>
        <w:spacing w:line="460" w:lineRule="exact"/>
        <w:ind w:left="454" w:leftChars="216"/>
        <w:jc w:val="left"/>
        <w:rPr>
          <w:rFonts w:ascii="宋体" w:hAnsi="宋体"/>
          <w:b/>
          <w:bCs/>
          <w:sz w:val="24"/>
          <w:szCs w:val="24"/>
        </w:rPr>
      </w:pPr>
      <w:r>
        <w:rPr>
          <w:rFonts w:hint="eastAsia" w:ascii="宋体" w:hAnsi="宋体"/>
          <w:b/>
          <w:bCs/>
          <w:sz w:val="24"/>
          <w:szCs w:val="24"/>
        </w:rPr>
        <w:t>6. 磋商文件构成</w:t>
      </w:r>
    </w:p>
    <w:p>
      <w:pPr>
        <w:spacing w:line="460" w:lineRule="exact"/>
        <w:ind w:left="454" w:leftChars="216"/>
        <w:jc w:val="left"/>
        <w:rPr>
          <w:rFonts w:ascii="宋体" w:hAnsi="宋体"/>
          <w:b/>
          <w:bCs/>
          <w:sz w:val="24"/>
          <w:szCs w:val="24"/>
        </w:rPr>
      </w:pPr>
      <w:r>
        <w:rPr>
          <w:rFonts w:hint="eastAsia" w:ascii="宋体" w:hAnsi="宋体"/>
          <w:b/>
          <w:bCs/>
          <w:sz w:val="24"/>
          <w:szCs w:val="24"/>
        </w:rPr>
        <w:t>6.</w:t>
      </w:r>
      <w:r>
        <w:rPr>
          <w:rFonts w:ascii="宋体" w:hAnsi="宋体"/>
          <w:b/>
          <w:bCs/>
          <w:sz w:val="24"/>
          <w:szCs w:val="24"/>
        </w:rPr>
        <w:t>1</w:t>
      </w:r>
      <w:r>
        <w:rPr>
          <w:rFonts w:hint="eastAsia" w:ascii="宋体" w:hAnsi="宋体"/>
          <w:b/>
          <w:bCs/>
          <w:sz w:val="24"/>
          <w:szCs w:val="24"/>
        </w:rPr>
        <w:t xml:space="preserve"> 要求提供的有关服务、磋商过程和合同条款在磋商文件中均有说明。磋商文件共五章，各章的内容如下：</w:t>
      </w:r>
    </w:p>
    <w:p>
      <w:pPr>
        <w:spacing w:line="460" w:lineRule="exact"/>
        <w:ind w:left="454" w:leftChars="216"/>
        <w:jc w:val="left"/>
        <w:rPr>
          <w:rFonts w:ascii="宋体" w:hAnsi="宋体"/>
          <w:b/>
          <w:bCs/>
          <w:sz w:val="24"/>
          <w:szCs w:val="24"/>
        </w:rPr>
      </w:pPr>
      <w:r>
        <w:rPr>
          <w:rFonts w:hint="eastAsia" w:ascii="宋体" w:hAnsi="宋体"/>
          <w:b/>
          <w:bCs/>
          <w:sz w:val="24"/>
          <w:szCs w:val="24"/>
        </w:rPr>
        <w:t>磋商邀请</w:t>
      </w:r>
    </w:p>
    <w:p>
      <w:pPr>
        <w:spacing w:line="460" w:lineRule="exact"/>
        <w:ind w:left="454" w:leftChars="216"/>
        <w:jc w:val="left"/>
        <w:rPr>
          <w:rFonts w:ascii="宋体" w:hAnsi="宋体"/>
          <w:b/>
          <w:bCs/>
          <w:sz w:val="24"/>
          <w:szCs w:val="24"/>
        </w:rPr>
      </w:pPr>
      <w:r>
        <w:rPr>
          <w:rFonts w:hint="eastAsia" w:ascii="宋体" w:hAnsi="宋体"/>
          <w:b/>
          <w:bCs/>
          <w:sz w:val="24"/>
          <w:szCs w:val="24"/>
        </w:rPr>
        <w:t>供应商须知</w:t>
      </w:r>
    </w:p>
    <w:p>
      <w:pPr>
        <w:spacing w:line="460" w:lineRule="exact"/>
        <w:ind w:left="454" w:leftChars="216"/>
        <w:jc w:val="left"/>
        <w:rPr>
          <w:rFonts w:ascii="宋体" w:hAnsi="宋体"/>
          <w:b/>
          <w:bCs/>
          <w:sz w:val="24"/>
          <w:szCs w:val="24"/>
        </w:rPr>
      </w:pPr>
      <w:r>
        <w:rPr>
          <w:rFonts w:hint="eastAsia" w:ascii="宋体" w:hAnsi="宋体"/>
          <w:b/>
          <w:bCs/>
          <w:sz w:val="24"/>
          <w:szCs w:val="24"/>
        </w:rPr>
        <w:t xml:space="preserve">拟签订的合同文本 </w:t>
      </w:r>
    </w:p>
    <w:p>
      <w:pPr>
        <w:spacing w:line="460" w:lineRule="exact"/>
        <w:ind w:left="454" w:leftChars="216"/>
        <w:jc w:val="left"/>
        <w:rPr>
          <w:rFonts w:ascii="宋体" w:hAnsi="宋体"/>
          <w:b/>
          <w:bCs/>
          <w:sz w:val="24"/>
          <w:szCs w:val="24"/>
        </w:rPr>
      </w:pPr>
      <w:r>
        <w:rPr>
          <w:rFonts w:hint="eastAsia" w:ascii="宋体" w:hAnsi="宋体"/>
          <w:b/>
          <w:bCs/>
          <w:sz w:val="24"/>
          <w:szCs w:val="24"/>
        </w:rPr>
        <w:t>响应文件格式</w:t>
      </w:r>
    </w:p>
    <w:p>
      <w:pPr>
        <w:spacing w:line="460" w:lineRule="exact"/>
        <w:ind w:left="454" w:leftChars="216"/>
        <w:jc w:val="left"/>
        <w:rPr>
          <w:rFonts w:ascii="宋体" w:hAnsi="宋体"/>
          <w:b/>
          <w:bCs/>
          <w:sz w:val="24"/>
          <w:szCs w:val="24"/>
        </w:rPr>
      </w:pPr>
      <w:r>
        <w:rPr>
          <w:rFonts w:hint="eastAsia" w:ascii="宋体" w:hAnsi="宋体"/>
          <w:b/>
          <w:bCs/>
          <w:sz w:val="24"/>
          <w:szCs w:val="24"/>
        </w:rPr>
        <w:t>6.</w:t>
      </w:r>
      <w:r>
        <w:rPr>
          <w:rFonts w:ascii="宋体" w:hAnsi="宋体"/>
          <w:b/>
          <w:bCs/>
          <w:sz w:val="24"/>
          <w:szCs w:val="24"/>
        </w:rPr>
        <w:t>2</w:t>
      </w:r>
      <w:r>
        <w:rPr>
          <w:rFonts w:hint="eastAsia" w:ascii="宋体" w:hAnsi="宋体"/>
          <w:b/>
          <w:bCs/>
          <w:sz w:val="24"/>
          <w:szCs w:val="24"/>
        </w:rPr>
        <w:t xml:space="preserve"> 除非有特殊要求，磋商文件不单独提供磋商所需货物使用地的自然环境、气候条件、公用设施等情况，供应商被视为熟悉上述与履行合同有关的一切情况。</w:t>
      </w:r>
    </w:p>
    <w:p>
      <w:pPr>
        <w:spacing w:line="460" w:lineRule="exact"/>
        <w:ind w:left="454" w:leftChars="216"/>
        <w:jc w:val="left"/>
        <w:rPr>
          <w:rFonts w:ascii="宋体" w:hAnsi="宋体"/>
          <w:b/>
          <w:bCs/>
          <w:sz w:val="24"/>
          <w:szCs w:val="24"/>
        </w:rPr>
      </w:pPr>
      <w:r>
        <w:rPr>
          <w:rFonts w:hint="eastAsia" w:ascii="宋体" w:hAnsi="宋体"/>
          <w:b/>
          <w:bCs/>
          <w:sz w:val="24"/>
          <w:szCs w:val="24"/>
        </w:rPr>
        <w:t>7. 磋商文件的澄清和修改</w:t>
      </w:r>
    </w:p>
    <w:p>
      <w:pPr>
        <w:spacing w:line="460" w:lineRule="exact"/>
        <w:ind w:left="454" w:leftChars="216"/>
        <w:jc w:val="left"/>
        <w:rPr>
          <w:rFonts w:ascii="宋体" w:hAnsi="宋体"/>
          <w:b/>
          <w:bCs/>
          <w:sz w:val="24"/>
          <w:szCs w:val="24"/>
        </w:rPr>
      </w:pPr>
      <w:r>
        <w:rPr>
          <w:rFonts w:hint="eastAsia" w:ascii="宋体" w:hAnsi="宋体"/>
          <w:b/>
          <w:bCs/>
          <w:sz w:val="24"/>
          <w:szCs w:val="24"/>
        </w:rPr>
        <w:t>7.1提交首次响应文件截止时间前的任何时候，采购人可以对已发出的磋商文件进行必要的澄清或者修改，澄清或者修改的内容作为磋商文件的组成部分。</w:t>
      </w:r>
    </w:p>
    <w:p>
      <w:pPr>
        <w:spacing w:line="460" w:lineRule="exact"/>
        <w:ind w:left="454" w:leftChars="216"/>
        <w:jc w:val="left"/>
        <w:rPr>
          <w:rFonts w:ascii="宋体" w:hAnsi="宋体"/>
          <w:b/>
          <w:bCs/>
          <w:sz w:val="24"/>
          <w:szCs w:val="24"/>
        </w:rPr>
      </w:pPr>
      <w:r>
        <w:rPr>
          <w:rFonts w:hint="eastAsia" w:ascii="宋体" w:hAnsi="宋体"/>
          <w:b/>
          <w:bCs/>
          <w:sz w:val="24"/>
          <w:szCs w:val="24"/>
        </w:rPr>
        <w:t>7.2</w:t>
      </w:r>
      <w:r>
        <w:rPr>
          <w:rFonts w:ascii="宋体" w:hAnsi="宋体"/>
          <w:b/>
          <w:bCs/>
          <w:sz w:val="24"/>
          <w:szCs w:val="24"/>
        </w:rPr>
        <w:t>澄清或者修改的内容可能影响响应文件编制的，</w:t>
      </w:r>
      <w:r>
        <w:rPr>
          <w:rFonts w:hint="eastAsia" w:ascii="宋体" w:hAnsi="宋体"/>
          <w:b/>
          <w:bCs/>
          <w:sz w:val="24"/>
          <w:szCs w:val="24"/>
        </w:rPr>
        <w:t>采购人</w:t>
      </w:r>
      <w:r>
        <w:rPr>
          <w:rFonts w:ascii="宋体" w:hAnsi="宋体"/>
          <w:b/>
          <w:bCs/>
          <w:sz w:val="24"/>
          <w:szCs w:val="24"/>
        </w:rPr>
        <w:t>应当在提交首次响应文件截止</w:t>
      </w:r>
      <w:r>
        <w:rPr>
          <w:rFonts w:hint="eastAsia" w:ascii="宋体" w:hAnsi="宋体"/>
          <w:b/>
          <w:bCs/>
          <w:sz w:val="24"/>
          <w:szCs w:val="24"/>
        </w:rPr>
        <w:t>时间至少</w:t>
      </w:r>
      <w:r>
        <w:rPr>
          <w:rFonts w:ascii="宋体" w:hAnsi="宋体"/>
          <w:b/>
          <w:bCs/>
          <w:sz w:val="24"/>
          <w:szCs w:val="24"/>
        </w:rPr>
        <w:t>日前，以书面形式通知所有</w:t>
      </w:r>
      <w:r>
        <w:rPr>
          <w:rFonts w:hint="eastAsia" w:ascii="宋体" w:hAnsi="宋体"/>
          <w:b/>
          <w:bCs/>
          <w:sz w:val="24"/>
          <w:szCs w:val="24"/>
        </w:rPr>
        <w:t>获取磋商</w:t>
      </w:r>
      <w:r>
        <w:rPr>
          <w:rFonts w:ascii="宋体" w:hAnsi="宋体"/>
          <w:b/>
          <w:bCs/>
          <w:sz w:val="24"/>
          <w:szCs w:val="24"/>
        </w:rPr>
        <w:t>文件的供应商</w:t>
      </w:r>
      <w:r>
        <w:rPr>
          <w:rFonts w:hint="eastAsia" w:ascii="宋体" w:hAnsi="宋体"/>
          <w:b/>
          <w:bCs/>
          <w:sz w:val="24"/>
          <w:szCs w:val="24"/>
        </w:rPr>
        <w:t>；</w:t>
      </w:r>
      <w:r>
        <w:rPr>
          <w:rFonts w:ascii="宋体" w:hAnsi="宋体"/>
          <w:b/>
          <w:bCs/>
          <w:sz w:val="24"/>
          <w:szCs w:val="24"/>
        </w:rPr>
        <w:t>不足日的，应当顺延提交首次响应文件截止</w:t>
      </w:r>
      <w:r>
        <w:rPr>
          <w:rFonts w:hint="eastAsia" w:ascii="宋体" w:hAnsi="宋体"/>
          <w:b/>
          <w:bCs/>
          <w:sz w:val="24"/>
          <w:szCs w:val="24"/>
        </w:rPr>
        <w:t>时间</w:t>
      </w:r>
      <w:r>
        <w:rPr>
          <w:rFonts w:ascii="宋体" w:hAnsi="宋体"/>
          <w:b/>
          <w:bCs/>
          <w:sz w:val="24"/>
          <w:szCs w:val="24"/>
        </w:rPr>
        <w:t>。</w:t>
      </w:r>
    </w:p>
    <w:p>
      <w:pPr>
        <w:spacing w:line="460" w:lineRule="exact"/>
        <w:ind w:left="454" w:leftChars="216"/>
        <w:jc w:val="left"/>
        <w:rPr>
          <w:rFonts w:ascii="宋体" w:hAnsi="宋体"/>
          <w:b/>
          <w:bCs/>
          <w:sz w:val="24"/>
          <w:szCs w:val="24"/>
        </w:rPr>
      </w:pPr>
      <w:r>
        <w:rPr>
          <w:rFonts w:hint="eastAsia" w:ascii="宋体" w:hAnsi="宋体"/>
          <w:b/>
          <w:bCs/>
          <w:sz w:val="24"/>
          <w:szCs w:val="24"/>
        </w:rPr>
        <w:t>7.3 供应商在收到上述通知后，应立即向采购人回复确认。</w:t>
      </w:r>
    </w:p>
    <w:p>
      <w:pPr>
        <w:spacing w:line="460" w:lineRule="exact"/>
        <w:ind w:left="454" w:leftChars="216"/>
        <w:jc w:val="left"/>
        <w:rPr>
          <w:rFonts w:ascii="宋体" w:hAnsi="宋体"/>
          <w:b/>
          <w:bCs/>
          <w:sz w:val="24"/>
          <w:szCs w:val="24"/>
        </w:rPr>
      </w:pPr>
      <w:bookmarkStart w:id="9" w:name="_Toc501101639"/>
      <w:bookmarkStart w:id="10" w:name="_Toc495487710"/>
      <w:bookmarkStart w:id="11" w:name="_Toc499477410"/>
      <w:r>
        <w:rPr>
          <w:rFonts w:hint="eastAsia" w:ascii="宋体" w:hAnsi="宋体"/>
          <w:b/>
          <w:bCs/>
          <w:sz w:val="24"/>
          <w:szCs w:val="24"/>
        </w:rPr>
        <w:t>8. 供应商应当提交的资格、资信证明文件</w:t>
      </w:r>
      <w:bookmarkEnd w:id="9"/>
      <w:bookmarkEnd w:id="10"/>
      <w:bookmarkEnd w:id="11"/>
    </w:p>
    <w:p>
      <w:pPr>
        <w:spacing w:line="460" w:lineRule="exact"/>
        <w:ind w:left="454" w:leftChars="216"/>
        <w:jc w:val="left"/>
        <w:rPr>
          <w:rFonts w:ascii="宋体" w:hAnsi="宋体"/>
          <w:b/>
          <w:bCs/>
          <w:sz w:val="24"/>
          <w:szCs w:val="24"/>
        </w:rPr>
      </w:pPr>
      <w:r>
        <w:rPr>
          <w:rFonts w:hint="eastAsia" w:ascii="宋体" w:hAnsi="宋体"/>
          <w:b/>
          <w:bCs/>
          <w:sz w:val="24"/>
          <w:szCs w:val="24"/>
        </w:rPr>
        <w:t xml:space="preserve">   详见响应文件格式</w:t>
      </w:r>
    </w:p>
    <w:p>
      <w:pPr>
        <w:spacing w:line="460" w:lineRule="exact"/>
        <w:ind w:left="454" w:leftChars="216"/>
        <w:jc w:val="left"/>
        <w:rPr>
          <w:rFonts w:ascii="宋体" w:hAnsi="宋体"/>
          <w:b/>
          <w:bCs/>
          <w:sz w:val="24"/>
          <w:szCs w:val="24"/>
        </w:rPr>
      </w:pPr>
    </w:p>
    <w:p>
      <w:pPr>
        <w:spacing w:line="460" w:lineRule="exact"/>
        <w:ind w:left="454" w:leftChars="216"/>
        <w:jc w:val="left"/>
        <w:rPr>
          <w:rFonts w:ascii="宋体" w:hAnsi="宋体"/>
          <w:b/>
          <w:bCs/>
          <w:sz w:val="24"/>
          <w:szCs w:val="24"/>
        </w:rPr>
      </w:pPr>
    </w:p>
    <w:p>
      <w:pPr>
        <w:spacing w:line="460" w:lineRule="exact"/>
        <w:ind w:left="454" w:leftChars="216"/>
        <w:jc w:val="left"/>
        <w:rPr>
          <w:rFonts w:ascii="宋体" w:hAnsi="宋体"/>
          <w:b/>
          <w:bCs/>
          <w:sz w:val="24"/>
          <w:szCs w:val="24"/>
        </w:rPr>
      </w:pPr>
    </w:p>
    <w:p>
      <w:pPr>
        <w:pStyle w:val="6"/>
        <w:numPr>
          <w:ilvl w:val="0"/>
          <w:numId w:val="5"/>
        </w:numPr>
        <w:spacing w:before="0" w:after="0" w:line="460" w:lineRule="exact"/>
        <w:jc w:val="center"/>
        <w:rPr>
          <w:rFonts w:ascii="宋体" w:hAnsi="宋体" w:eastAsia="宋体"/>
          <w:sz w:val="28"/>
          <w:szCs w:val="28"/>
        </w:rPr>
      </w:pPr>
      <w:bookmarkStart w:id="12" w:name="_Toc48722656"/>
      <w:r>
        <w:rPr>
          <w:rFonts w:hint="eastAsia" w:ascii="宋体" w:hAnsi="宋体" w:eastAsia="宋体"/>
          <w:sz w:val="28"/>
          <w:szCs w:val="28"/>
        </w:rPr>
        <w:t>响应文件的编制</w:t>
      </w:r>
      <w:bookmarkEnd w:id="12"/>
    </w:p>
    <w:p>
      <w:pPr>
        <w:spacing w:line="460" w:lineRule="exact"/>
        <w:ind w:left="454" w:leftChars="216"/>
        <w:jc w:val="left"/>
        <w:rPr>
          <w:rFonts w:ascii="宋体" w:hAnsi="宋体"/>
          <w:b/>
          <w:bCs/>
          <w:sz w:val="24"/>
          <w:szCs w:val="24"/>
        </w:rPr>
      </w:pPr>
      <w:r>
        <w:rPr>
          <w:rFonts w:hint="eastAsia" w:ascii="宋体" w:hAnsi="宋体"/>
          <w:b/>
          <w:bCs/>
          <w:sz w:val="24"/>
          <w:szCs w:val="24"/>
        </w:rPr>
        <w:t>9.提示</w:t>
      </w:r>
    </w:p>
    <w:p>
      <w:pPr>
        <w:spacing w:line="460" w:lineRule="exact"/>
        <w:ind w:left="454" w:leftChars="216"/>
        <w:jc w:val="left"/>
        <w:rPr>
          <w:rFonts w:ascii="宋体" w:hAnsi="宋体"/>
          <w:b/>
          <w:bCs/>
          <w:sz w:val="24"/>
          <w:szCs w:val="24"/>
        </w:rPr>
      </w:pPr>
      <w:r>
        <w:rPr>
          <w:rFonts w:hint="eastAsia" w:ascii="宋体" w:hAnsi="宋体"/>
          <w:b/>
          <w:bCs/>
          <w:sz w:val="24"/>
          <w:szCs w:val="24"/>
        </w:rPr>
        <w:t>9.1供应商应认真阅读磋商文件的全部内容，按照磋商文件要求提供响应文件和资料。</w:t>
      </w:r>
    </w:p>
    <w:p>
      <w:pPr>
        <w:spacing w:line="460" w:lineRule="exact"/>
        <w:ind w:left="454" w:leftChars="216"/>
        <w:jc w:val="left"/>
        <w:rPr>
          <w:rFonts w:ascii="宋体" w:hAnsi="宋体"/>
          <w:b/>
          <w:bCs/>
          <w:sz w:val="24"/>
          <w:szCs w:val="24"/>
        </w:rPr>
      </w:pPr>
      <w:r>
        <w:rPr>
          <w:rFonts w:hint="eastAsia" w:ascii="宋体" w:hAnsi="宋体"/>
          <w:b/>
          <w:bCs/>
          <w:sz w:val="24"/>
          <w:szCs w:val="24"/>
        </w:rPr>
        <w:t>9.2供应商提交的响应文件以及供应商与采购人所有来往书面文件均须使用中文。响应文件中如附有外文资料，必须逐一对应翻译成中文。</w:t>
      </w:r>
    </w:p>
    <w:p>
      <w:pPr>
        <w:spacing w:line="460" w:lineRule="exact"/>
        <w:ind w:left="454" w:leftChars="216"/>
        <w:jc w:val="left"/>
        <w:rPr>
          <w:rFonts w:ascii="宋体" w:hAnsi="宋体"/>
          <w:b/>
          <w:bCs/>
          <w:sz w:val="24"/>
          <w:szCs w:val="24"/>
        </w:rPr>
      </w:pPr>
      <w:r>
        <w:rPr>
          <w:rFonts w:hint="eastAsia" w:ascii="宋体" w:hAnsi="宋体"/>
          <w:b/>
          <w:bCs/>
          <w:sz w:val="24"/>
          <w:szCs w:val="24"/>
        </w:rPr>
        <w:t>9.3翻译的中文资料与外文资料如果出现差异和矛盾时，以中文为准。</w:t>
      </w:r>
    </w:p>
    <w:p>
      <w:pPr>
        <w:spacing w:line="460" w:lineRule="exact"/>
        <w:ind w:left="454" w:leftChars="216"/>
        <w:jc w:val="left"/>
        <w:rPr>
          <w:rFonts w:ascii="宋体" w:hAnsi="宋体"/>
          <w:b/>
          <w:bCs/>
          <w:sz w:val="24"/>
          <w:szCs w:val="24"/>
        </w:rPr>
      </w:pPr>
      <w:r>
        <w:rPr>
          <w:rFonts w:hint="eastAsia" w:ascii="宋体" w:hAnsi="宋体"/>
          <w:b/>
          <w:bCs/>
          <w:sz w:val="24"/>
          <w:szCs w:val="24"/>
        </w:rPr>
        <w:t>10.计量单位</w:t>
      </w:r>
    </w:p>
    <w:p>
      <w:pPr>
        <w:spacing w:line="460" w:lineRule="exact"/>
        <w:ind w:left="454" w:leftChars="216"/>
        <w:jc w:val="left"/>
        <w:rPr>
          <w:rFonts w:ascii="宋体" w:hAnsi="宋体"/>
          <w:b/>
          <w:bCs/>
          <w:sz w:val="24"/>
          <w:szCs w:val="24"/>
        </w:rPr>
      </w:pPr>
      <w:r>
        <w:rPr>
          <w:rFonts w:hint="eastAsia" w:ascii="宋体" w:hAnsi="宋体"/>
          <w:b/>
          <w:bCs/>
          <w:sz w:val="24"/>
          <w:szCs w:val="24"/>
        </w:rPr>
        <w:t>10.1响应文件中所使用的计量单位</w:t>
      </w:r>
      <w:r>
        <w:rPr>
          <w:rFonts w:ascii="宋体" w:hAnsi="宋体"/>
          <w:b/>
          <w:bCs/>
          <w:sz w:val="24"/>
          <w:szCs w:val="24"/>
        </w:rPr>
        <w:t xml:space="preserve">, </w:t>
      </w:r>
      <w:r>
        <w:rPr>
          <w:rFonts w:hint="eastAsia" w:ascii="宋体" w:hAnsi="宋体"/>
          <w:b/>
          <w:bCs/>
          <w:sz w:val="24"/>
          <w:szCs w:val="24"/>
        </w:rPr>
        <w:t>除磋商文件中有特殊要求外，应采用国家法定计量单位。</w:t>
      </w:r>
    </w:p>
    <w:p>
      <w:pPr>
        <w:spacing w:line="460" w:lineRule="exact"/>
        <w:rPr>
          <w:rFonts w:ascii="宋体" w:hAnsi="宋体"/>
          <w:b/>
          <w:sz w:val="24"/>
          <w:szCs w:val="24"/>
        </w:rPr>
      </w:pPr>
      <w:r>
        <w:rPr>
          <w:rFonts w:hint="eastAsia" w:ascii="宋体" w:hAnsi="宋体"/>
          <w:b/>
          <w:sz w:val="24"/>
          <w:szCs w:val="24"/>
        </w:rPr>
        <w:t>11. 响应文件的构成</w:t>
      </w:r>
    </w:p>
    <w:p>
      <w:pPr>
        <w:spacing w:line="460" w:lineRule="exact"/>
        <w:ind w:left="567" w:hanging="567"/>
        <w:rPr>
          <w:rFonts w:ascii="宋体" w:hAnsi="宋体"/>
          <w:sz w:val="24"/>
          <w:szCs w:val="24"/>
        </w:rPr>
      </w:pPr>
      <w:r>
        <w:rPr>
          <w:rFonts w:hint="eastAsia" w:ascii="宋体" w:hAnsi="宋体"/>
          <w:sz w:val="24"/>
          <w:szCs w:val="24"/>
        </w:rPr>
        <w:t>11.1响应文件应由下列部分构成：</w:t>
      </w:r>
    </w:p>
    <w:p>
      <w:pPr>
        <w:spacing w:line="460" w:lineRule="exact"/>
        <w:ind w:left="567" w:hanging="87"/>
        <w:rPr>
          <w:rFonts w:ascii="宋体" w:hAnsi="宋体"/>
          <w:sz w:val="24"/>
          <w:szCs w:val="24"/>
        </w:rPr>
      </w:pPr>
      <w:r>
        <w:rPr>
          <w:rFonts w:hint="eastAsia" w:ascii="宋体" w:hAnsi="宋体"/>
          <w:sz w:val="24"/>
          <w:szCs w:val="24"/>
        </w:rPr>
        <w:t>(1) 磋商响应书</w:t>
      </w:r>
    </w:p>
    <w:p>
      <w:pPr>
        <w:spacing w:line="460" w:lineRule="exact"/>
        <w:ind w:left="567" w:hanging="87"/>
        <w:rPr>
          <w:rFonts w:ascii="宋体" w:hAnsi="宋体"/>
          <w:sz w:val="24"/>
          <w:szCs w:val="24"/>
        </w:rPr>
      </w:pPr>
      <w:r>
        <w:rPr>
          <w:rFonts w:ascii="宋体" w:hAnsi="宋体"/>
          <w:sz w:val="24"/>
          <w:szCs w:val="24"/>
        </w:rPr>
        <w:t xml:space="preserve">(2) </w:t>
      </w:r>
      <w:r>
        <w:rPr>
          <w:rFonts w:hint="eastAsia" w:ascii="宋体" w:hAnsi="宋体"/>
          <w:sz w:val="24"/>
          <w:szCs w:val="24"/>
        </w:rPr>
        <w:t>报价表</w:t>
      </w:r>
    </w:p>
    <w:p>
      <w:pPr>
        <w:spacing w:line="460" w:lineRule="exact"/>
        <w:ind w:left="567" w:hanging="87"/>
        <w:rPr>
          <w:rFonts w:ascii="宋体" w:hAnsi="宋体"/>
          <w:sz w:val="24"/>
          <w:szCs w:val="24"/>
        </w:rPr>
      </w:pPr>
      <w:r>
        <w:rPr>
          <w:rFonts w:ascii="宋体" w:hAnsi="宋体"/>
          <w:sz w:val="24"/>
          <w:szCs w:val="24"/>
        </w:rPr>
        <w:t>(</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商务条款响应/偏离表</w:t>
      </w:r>
    </w:p>
    <w:p>
      <w:pPr>
        <w:spacing w:line="460" w:lineRule="exact"/>
        <w:ind w:left="567" w:hanging="87"/>
        <w:rPr>
          <w:rFonts w:ascii="宋体" w:hAnsi="宋体"/>
          <w:sz w:val="24"/>
          <w:szCs w:val="24"/>
        </w:rPr>
      </w:pPr>
      <w:r>
        <w:rPr>
          <w:rFonts w:hint="eastAsia" w:ascii="宋体" w:hAnsi="宋体"/>
          <w:sz w:val="24"/>
          <w:szCs w:val="24"/>
        </w:rPr>
        <w:t>(4) 供应商情况一览表</w:t>
      </w:r>
    </w:p>
    <w:p>
      <w:pPr>
        <w:spacing w:line="460" w:lineRule="exact"/>
        <w:ind w:left="567" w:hanging="87"/>
        <w:rPr>
          <w:rFonts w:ascii="宋体" w:hAnsi="宋体"/>
          <w:sz w:val="24"/>
          <w:szCs w:val="24"/>
        </w:rPr>
      </w:pPr>
      <w:r>
        <w:rPr>
          <w:rFonts w:hint="eastAsia" w:ascii="宋体" w:hAnsi="宋体"/>
          <w:sz w:val="24"/>
          <w:szCs w:val="24"/>
        </w:rPr>
        <w:t>(5) 技术文件</w:t>
      </w:r>
    </w:p>
    <w:p>
      <w:pPr>
        <w:spacing w:line="460" w:lineRule="exact"/>
        <w:ind w:left="567" w:hanging="87"/>
        <w:rPr>
          <w:rFonts w:ascii="宋体" w:hAnsi="宋体"/>
          <w:sz w:val="24"/>
          <w:szCs w:val="24"/>
        </w:rPr>
      </w:pPr>
      <w:r>
        <w:rPr>
          <w:rFonts w:ascii="宋体" w:hAnsi="宋体"/>
          <w:sz w:val="24"/>
          <w:szCs w:val="24"/>
        </w:rPr>
        <w:t>(</w:t>
      </w:r>
      <w:r>
        <w:rPr>
          <w:rFonts w:hint="eastAsia" w:ascii="宋体" w:hAnsi="宋体"/>
          <w:sz w:val="24"/>
          <w:szCs w:val="24"/>
        </w:rPr>
        <w:t>6</w:t>
      </w:r>
      <w:r>
        <w:rPr>
          <w:rFonts w:ascii="宋体" w:hAnsi="宋体"/>
          <w:sz w:val="24"/>
          <w:szCs w:val="24"/>
        </w:rPr>
        <w:t>)</w:t>
      </w:r>
      <w:r>
        <w:rPr>
          <w:rFonts w:hint="eastAsia" w:ascii="宋体" w:hAnsi="宋体"/>
          <w:sz w:val="24"/>
          <w:szCs w:val="24"/>
        </w:rPr>
        <w:t xml:space="preserve"> 资格证明文件</w:t>
      </w:r>
    </w:p>
    <w:p>
      <w:pPr>
        <w:spacing w:line="440" w:lineRule="exact"/>
        <w:rPr>
          <w:rFonts w:ascii="宋体" w:hAnsi="宋体"/>
          <w:b/>
          <w:sz w:val="24"/>
          <w:szCs w:val="24"/>
        </w:rPr>
      </w:pPr>
      <w:r>
        <w:rPr>
          <w:rFonts w:hint="eastAsia" w:ascii="宋体" w:hAnsi="宋体"/>
          <w:sz w:val="24"/>
          <w:szCs w:val="24"/>
        </w:rPr>
        <w:t>11.2</w:t>
      </w:r>
      <w:r>
        <w:rPr>
          <w:rFonts w:hint="eastAsia" w:ascii="宋体" w:hAnsi="宋体"/>
          <w:b/>
          <w:sz w:val="24"/>
          <w:szCs w:val="24"/>
        </w:rPr>
        <w:t>供应商应将响应文件胶装成册，并编写目录及页码。</w:t>
      </w:r>
    </w:p>
    <w:p>
      <w:pPr>
        <w:spacing w:line="460" w:lineRule="exact"/>
        <w:rPr>
          <w:rFonts w:ascii="宋体" w:hAnsi="宋体"/>
          <w:b/>
          <w:sz w:val="24"/>
          <w:szCs w:val="24"/>
        </w:rPr>
      </w:pPr>
      <w:r>
        <w:rPr>
          <w:rFonts w:hint="eastAsia" w:ascii="宋体" w:hAnsi="宋体"/>
          <w:b/>
          <w:sz w:val="24"/>
          <w:szCs w:val="24"/>
        </w:rPr>
        <w:t>12. 证明服务符合磋商文件规定的文件</w:t>
      </w:r>
    </w:p>
    <w:p>
      <w:pPr>
        <w:spacing w:line="460" w:lineRule="exact"/>
        <w:ind w:left="624" w:hanging="624"/>
        <w:rPr>
          <w:rFonts w:ascii="宋体" w:hAnsi="宋体"/>
          <w:sz w:val="24"/>
          <w:szCs w:val="24"/>
        </w:rPr>
      </w:pPr>
      <w:r>
        <w:rPr>
          <w:rFonts w:hint="eastAsia" w:ascii="宋体" w:hAnsi="宋体"/>
          <w:sz w:val="24"/>
          <w:szCs w:val="24"/>
        </w:rPr>
        <w:t>12.</w:t>
      </w:r>
      <w:r>
        <w:rPr>
          <w:rFonts w:ascii="宋体" w:hAnsi="宋体"/>
          <w:sz w:val="24"/>
          <w:szCs w:val="24"/>
        </w:rPr>
        <w:t>1</w:t>
      </w:r>
      <w:r>
        <w:rPr>
          <w:rFonts w:hint="eastAsia" w:ascii="宋体" w:hAnsi="宋体"/>
          <w:sz w:val="24"/>
          <w:szCs w:val="24"/>
        </w:rPr>
        <w:t xml:space="preserve"> 供应商应提交其提供的有关货物符合磋商文件规定的证明，作为响应文件的一部分。</w:t>
      </w:r>
    </w:p>
    <w:p>
      <w:pPr>
        <w:spacing w:line="460" w:lineRule="exact"/>
        <w:rPr>
          <w:rFonts w:ascii="宋体" w:hAnsi="宋体"/>
          <w:b/>
          <w:sz w:val="24"/>
          <w:szCs w:val="24"/>
        </w:rPr>
      </w:pPr>
      <w:r>
        <w:rPr>
          <w:rFonts w:hint="eastAsia" w:ascii="宋体" w:hAnsi="宋体"/>
          <w:b/>
          <w:sz w:val="24"/>
          <w:szCs w:val="24"/>
        </w:rPr>
        <w:t>13. 磋商报价</w:t>
      </w:r>
    </w:p>
    <w:p>
      <w:pPr>
        <w:pStyle w:val="14"/>
        <w:spacing w:line="400" w:lineRule="exact"/>
        <w:rPr>
          <w:rFonts w:ascii="宋体"/>
          <w:color w:val="FF0000"/>
          <w:sz w:val="24"/>
          <w:szCs w:val="24"/>
        </w:rPr>
      </w:pPr>
      <w:r>
        <w:rPr>
          <w:rFonts w:hint="eastAsia" w:ascii="宋体" w:hAnsi="宋体"/>
          <w:sz w:val="24"/>
          <w:szCs w:val="24"/>
        </w:rPr>
        <w:t>13</w:t>
      </w:r>
      <w:r>
        <w:rPr>
          <w:rFonts w:ascii="宋体" w:hAnsi="宋体"/>
          <w:sz w:val="24"/>
          <w:szCs w:val="24"/>
        </w:rPr>
        <w:t>.1</w:t>
      </w:r>
      <w:r>
        <w:rPr>
          <w:rFonts w:hint="eastAsia" w:ascii="宋体" w:hAnsi="宋体"/>
          <w:sz w:val="24"/>
          <w:szCs w:val="24"/>
        </w:rPr>
        <w:t>磋商报价均以人民币报价，本项目为交钥匙工程，</w:t>
      </w:r>
      <w:r>
        <w:rPr>
          <w:rFonts w:hint="eastAsia" w:ascii="宋体" w:hAnsi="宋体"/>
          <w:color w:val="FF0000"/>
          <w:sz w:val="24"/>
          <w:szCs w:val="24"/>
        </w:rPr>
        <w:t>合同采用固定价合同</w:t>
      </w:r>
      <w:r>
        <w:rPr>
          <w:rFonts w:hint="eastAsia" w:ascii="宋体" w:hAnsi="宋体"/>
          <w:sz w:val="24"/>
          <w:szCs w:val="24"/>
        </w:rPr>
        <w:t>，</w:t>
      </w:r>
      <w:r>
        <w:rPr>
          <w:rFonts w:hint="eastAsia" w:ascii="宋体" w:hAnsi="宋体"/>
          <w:color w:val="FF0000"/>
          <w:sz w:val="24"/>
          <w:szCs w:val="24"/>
        </w:rPr>
        <w:t>总价包干方式。</w:t>
      </w:r>
      <w:r>
        <w:rPr>
          <w:rFonts w:hint="eastAsia" w:ascii="宋体" w:hAnsi="宋体"/>
          <w:b/>
          <w:bCs/>
          <w:sz w:val="24"/>
          <w:szCs w:val="24"/>
        </w:rPr>
        <w:t>本</w:t>
      </w:r>
      <w:r>
        <w:rPr>
          <w:rFonts w:hint="eastAsia"/>
          <w:b/>
          <w:bCs/>
          <w:sz w:val="24"/>
          <w:szCs w:val="24"/>
        </w:rPr>
        <w:t>项目</w:t>
      </w:r>
      <w:r>
        <w:rPr>
          <w:rFonts w:hint="eastAsia" w:ascii="宋体" w:hAnsi="宋体"/>
          <w:b/>
          <w:bCs/>
          <w:sz w:val="24"/>
          <w:szCs w:val="24"/>
        </w:rPr>
        <w:t>招标控制价</w:t>
      </w:r>
      <w:r>
        <w:rPr>
          <w:rFonts w:hint="eastAsia" w:ascii="宋体" w:hAnsi="宋体"/>
          <w:b/>
          <w:bCs/>
          <w:color w:val="FF0000"/>
          <w:sz w:val="24"/>
          <w:szCs w:val="24"/>
        </w:rPr>
        <w:t>5.8万元</w:t>
      </w:r>
      <w:r>
        <w:rPr>
          <w:rFonts w:hint="eastAsia" w:ascii="宋体" w:hAnsi="宋体"/>
          <w:b/>
          <w:bCs/>
          <w:sz w:val="24"/>
          <w:szCs w:val="24"/>
        </w:rPr>
        <w:t>，</w:t>
      </w:r>
      <w:r>
        <w:rPr>
          <w:rFonts w:hint="eastAsia" w:ascii="宋体" w:hAnsi="宋体"/>
          <w:sz w:val="24"/>
          <w:szCs w:val="24"/>
        </w:rPr>
        <w:t>报价包括但不限于</w:t>
      </w:r>
      <w:r>
        <w:rPr>
          <w:rFonts w:hint="eastAsia" w:ascii="宋体" w:hAnsi="宋体"/>
          <w:sz w:val="24"/>
        </w:rPr>
        <w:t>沙盘人工、材料、机械设备、安装、资料、人员差旅、运输、食宿、工具、管理费、增值税税金（专票）等一切费用，所有范围内工作均应包含，漏报或者未报的项目采购人视同其价格均已包含在总价中。</w:t>
      </w:r>
    </w:p>
    <w:p>
      <w:pPr>
        <w:spacing w:line="460" w:lineRule="exact"/>
        <w:ind w:left="567" w:hanging="567"/>
        <w:rPr>
          <w:rFonts w:ascii="宋体" w:hAnsi="宋体"/>
          <w:sz w:val="24"/>
          <w:szCs w:val="24"/>
        </w:rPr>
      </w:pPr>
      <w:r>
        <w:rPr>
          <w:rFonts w:hint="eastAsia" w:ascii="宋体" w:hAnsi="宋体"/>
          <w:sz w:val="24"/>
          <w:szCs w:val="24"/>
        </w:rPr>
        <w:t>13</w:t>
      </w:r>
      <w:r>
        <w:rPr>
          <w:rFonts w:ascii="宋体" w:hAnsi="宋体"/>
          <w:sz w:val="24"/>
          <w:szCs w:val="24"/>
        </w:rPr>
        <w:t>.2</w:t>
      </w:r>
      <w:r>
        <w:rPr>
          <w:rFonts w:hint="eastAsia" w:ascii="宋体" w:hAnsi="宋体"/>
          <w:sz w:val="24"/>
          <w:szCs w:val="24"/>
        </w:rPr>
        <w:t>供应商要按报价表（统一格式）和分项报价表（统一格式）的内容填写报价及其他事项。</w:t>
      </w:r>
    </w:p>
    <w:p>
      <w:pPr>
        <w:spacing w:line="460" w:lineRule="exact"/>
        <w:ind w:left="480" w:hanging="480" w:hangingChars="200"/>
        <w:rPr>
          <w:rFonts w:ascii="宋体"/>
          <w:sz w:val="24"/>
          <w:szCs w:val="24"/>
        </w:rPr>
      </w:pPr>
      <w:r>
        <w:rPr>
          <w:rFonts w:ascii="宋体" w:hAnsi="宋体"/>
          <w:sz w:val="24"/>
          <w:szCs w:val="24"/>
        </w:rPr>
        <w:t>1</w:t>
      </w:r>
      <w:r>
        <w:rPr>
          <w:rFonts w:hint="eastAsia" w:ascii="宋体" w:hAnsi="宋体"/>
          <w:sz w:val="24"/>
          <w:szCs w:val="24"/>
        </w:rPr>
        <w:t>3.</w:t>
      </w:r>
      <w:r>
        <w:rPr>
          <w:rFonts w:ascii="宋体" w:hAnsi="宋体"/>
          <w:sz w:val="24"/>
          <w:szCs w:val="24"/>
        </w:rPr>
        <w:t>3</w:t>
      </w:r>
      <w:r>
        <w:rPr>
          <w:rFonts w:hint="eastAsia" w:ascii="宋体" w:hAnsi="宋体"/>
          <w:sz w:val="24"/>
          <w:szCs w:val="24"/>
        </w:rPr>
        <w:t>磋商报价中不得缺漏磋商文件所要求的内容，缺漏部分成交后须按磋商文件要求提供，且成交价以磋商报价为准</w:t>
      </w:r>
      <w:r>
        <w:rPr>
          <w:rFonts w:hint="eastAsia" w:ascii="宋体" w:hAnsi="宋体"/>
          <w:sz w:val="24"/>
        </w:rPr>
        <w:t>；</w:t>
      </w:r>
      <w:r>
        <w:rPr>
          <w:rFonts w:hint="eastAsia" w:ascii="宋体" w:hAnsi="宋体"/>
          <w:b/>
          <w:sz w:val="24"/>
        </w:rPr>
        <w:t>若供应商不同意，将被</w:t>
      </w:r>
      <w:r>
        <w:rPr>
          <w:rFonts w:hint="eastAsia"/>
          <w:b/>
          <w:sz w:val="24"/>
        </w:rPr>
        <w:t>视为响应无效。</w:t>
      </w:r>
    </w:p>
    <w:p>
      <w:pPr>
        <w:spacing w:line="460" w:lineRule="exact"/>
        <w:rPr>
          <w:rFonts w:ascii="宋体" w:hAnsi="宋体"/>
          <w:b/>
          <w:sz w:val="24"/>
          <w:szCs w:val="24"/>
        </w:rPr>
      </w:pPr>
      <w:r>
        <w:rPr>
          <w:rFonts w:hint="eastAsia" w:ascii="宋体" w:hAnsi="宋体"/>
          <w:b/>
          <w:sz w:val="24"/>
          <w:szCs w:val="24"/>
        </w:rPr>
        <w:t>14. 响应文件的签署及规定</w:t>
      </w:r>
    </w:p>
    <w:p>
      <w:pPr>
        <w:spacing w:line="460" w:lineRule="exact"/>
        <w:ind w:left="567" w:hanging="567"/>
        <w:rPr>
          <w:rFonts w:ascii="宋体" w:hAnsi="宋体"/>
          <w:sz w:val="24"/>
          <w:szCs w:val="24"/>
        </w:rPr>
      </w:pPr>
      <w:r>
        <w:rPr>
          <w:rFonts w:hint="eastAsia" w:ascii="宋体" w:hAnsi="宋体"/>
          <w:sz w:val="24"/>
          <w:szCs w:val="24"/>
        </w:rPr>
        <w:t>14</w:t>
      </w:r>
      <w:r>
        <w:rPr>
          <w:rFonts w:ascii="宋体" w:hAnsi="宋体"/>
          <w:sz w:val="24"/>
          <w:szCs w:val="24"/>
        </w:rPr>
        <w:t>.1</w:t>
      </w:r>
      <w:r>
        <w:rPr>
          <w:rFonts w:hint="eastAsia" w:ascii="宋体" w:hAnsi="宋体"/>
          <w:sz w:val="24"/>
          <w:szCs w:val="24"/>
        </w:rPr>
        <w:t xml:space="preserve"> 供应商应准备一份响应文件正本和“供应商须知前附表”规定的副本。每套响应文件须清楚地标明“正本”或“副本”。若正本和副本不符，以正本为准。</w:t>
      </w:r>
    </w:p>
    <w:p>
      <w:pPr>
        <w:spacing w:line="460" w:lineRule="exact"/>
        <w:ind w:left="567" w:hanging="567"/>
        <w:rPr>
          <w:rFonts w:ascii="宋体" w:hAnsi="宋体"/>
          <w:sz w:val="24"/>
          <w:szCs w:val="24"/>
        </w:rPr>
      </w:pPr>
      <w:r>
        <w:rPr>
          <w:rFonts w:hint="eastAsia" w:ascii="宋体" w:hAnsi="宋体"/>
          <w:sz w:val="24"/>
          <w:szCs w:val="24"/>
        </w:rPr>
        <w:t>14</w:t>
      </w:r>
      <w:r>
        <w:rPr>
          <w:rFonts w:ascii="宋体" w:hAnsi="宋体"/>
          <w:sz w:val="24"/>
          <w:szCs w:val="24"/>
        </w:rPr>
        <w:t>.</w:t>
      </w:r>
      <w:r>
        <w:rPr>
          <w:rFonts w:hint="eastAsia" w:ascii="宋体" w:hAnsi="宋体"/>
          <w:sz w:val="24"/>
          <w:szCs w:val="24"/>
        </w:rPr>
        <w:t>2响应文件的正本必须打印，并按磋商文件的要求签字、签章。副本可采用正本的复印件。(封面需加盖供应商鲜章）</w:t>
      </w:r>
      <w:r>
        <w:rPr>
          <w:rFonts w:hint="eastAsia" w:ascii="宋体" w:hAnsi="宋体"/>
          <w:b/>
          <w:sz w:val="24"/>
          <w:szCs w:val="24"/>
        </w:rPr>
        <w:t>响应文件正、副本均须胶装成册。</w:t>
      </w:r>
    </w:p>
    <w:p>
      <w:pPr>
        <w:spacing w:line="460" w:lineRule="exact"/>
        <w:ind w:left="567" w:hanging="567"/>
        <w:rPr>
          <w:rFonts w:ascii="宋体" w:hAnsi="宋体"/>
          <w:sz w:val="24"/>
          <w:szCs w:val="24"/>
        </w:rPr>
      </w:pPr>
      <w:r>
        <w:rPr>
          <w:rFonts w:hint="eastAsia" w:ascii="宋体" w:hAnsi="宋体"/>
          <w:sz w:val="24"/>
          <w:szCs w:val="24"/>
        </w:rPr>
        <w:t>14</w:t>
      </w:r>
      <w:r>
        <w:rPr>
          <w:rFonts w:ascii="宋体" w:hAnsi="宋体"/>
          <w:sz w:val="24"/>
          <w:szCs w:val="24"/>
        </w:rPr>
        <w:t>.3</w:t>
      </w:r>
      <w:r>
        <w:rPr>
          <w:rFonts w:hint="eastAsia" w:ascii="宋体" w:hAnsi="宋体"/>
          <w:sz w:val="24"/>
          <w:szCs w:val="24"/>
        </w:rPr>
        <w:t xml:space="preserve"> 响应文件不得涂改和增删，如有修改，必须由响应文件签字人签字或盖章。</w:t>
      </w:r>
    </w:p>
    <w:p>
      <w:pPr>
        <w:spacing w:line="460" w:lineRule="exact"/>
        <w:ind w:left="567" w:hanging="567"/>
        <w:rPr>
          <w:rFonts w:ascii="宋体" w:hAnsi="宋体"/>
          <w:sz w:val="24"/>
          <w:szCs w:val="24"/>
        </w:rPr>
      </w:pPr>
      <w:r>
        <w:rPr>
          <w:rFonts w:hint="eastAsia" w:ascii="宋体" w:hAnsi="宋体"/>
          <w:sz w:val="24"/>
          <w:szCs w:val="24"/>
        </w:rPr>
        <w:t>14</w:t>
      </w:r>
      <w:r>
        <w:rPr>
          <w:rFonts w:ascii="宋体" w:hAnsi="宋体"/>
          <w:sz w:val="24"/>
          <w:szCs w:val="24"/>
        </w:rPr>
        <w:t>.4</w:t>
      </w:r>
      <w:r>
        <w:rPr>
          <w:rFonts w:hint="eastAsia" w:ascii="宋体" w:hAnsi="宋体"/>
          <w:sz w:val="24"/>
          <w:szCs w:val="24"/>
        </w:rPr>
        <w:t xml:space="preserve"> 响应文件因字迹潦草或表达不清所引起的后果由供应商负责。</w:t>
      </w:r>
    </w:p>
    <w:p>
      <w:pPr>
        <w:spacing w:line="460" w:lineRule="exact"/>
        <w:ind w:left="567" w:hanging="567"/>
        <w:rPr>
          <w:rFonts w:ascii="宋体" w:hAnsi="宋体"/>
        </w:rPr>
      </w:pPr>
      <w:r>
        <w:rPr>
          <w:rFonts w:hint="eastAsia" w:ascii="宋体" w:hAnsi="宋体"/>
          <w:sz w:val="24"/>
          <w:szCs w:val="24"/>
        </w:rPr>
        <w:t>14</w:t>
      </w:r>
      <w:r>
        <w:rPr>
          <w:rFonts w:ascii="宋体" w:hAnsi="宋体"/>
          <w:sz w:val="24"/>
          <w:szCs w:val="24"/>
        </w:rPr>
        <w:t>.</w:t>
      </w:r>
      <w:r>
        <w:rPr>
          <w:rFonts w:hint="eastAsia" w:ascii="宋体" w:hAnsi="宋体"/>
          <w:sz w:val="24"/>
          <w:szCs w:val="24"/>
        </w:rPr>
        <w:t>5 电报、电传、传真形式的响应文件概不接受。</w:t>
      </w:r>
    </w:p>
    <w:p>
      <w:pPr>
        <w:rPr>
          <w:rFonts w:ascii="宋体" w:hAnsi="宋体"/>
          <w:sz w:val="28"/>
          <w:szCs w:val="28"/>
        </w:rPr>
      </w:pPr>
    </w:p>
    <w:p>
      <w:pPr>
        <w:pStyle w:val="2"/>
      </w:pPr>
    </w:p>
    <w:p>
      <w:pPr>
        <w:pStyle w:val="6"/>
        <w:spacing w:before="0" w:after="0" w:line="460" w:lineRule="exact"/>
        <w:jc w:val="center"/>
        <w:rPr>
          <w:rFonts w:ascii="宋体" w:hAnsi="宋体" w:eastAsia="宋体"/>
          <w:sz w:val="28"/>
          <w:szCs w:val="28"/>
        </w:rPr>
      </w:pPr>
      <w:bookmarkStart w:id="13" w:name="_Toc48722657"/>
      <w:r>
        <w:rPr>
          <w:rFonts w:hint="eastAsia" w:ascii="宋体" w:hAnsi="宋体" w:eastAsia="宋体"/>
          <w:sz w:val="28"/>
          <w:szCs w:val="28"/>
        </w:rPr>
        <w:t>六、响应文件的递交</w:t>
      </w:r>
      <w:bookmarkEnd w:id="13"/>
    </w:p>
    <w:p>
      <w:pPr>
        <w:spacing w:line="460" w:lineRule="exact"/>
        <w:rPr>
          <w:rFonts w:ascii="宋体" w:hAnsi="宋体"/>
          <w:b/>
          <w:sz w:val="24"/>
          <w:szCs w:val="24"/>
        </w:rPr>
      </w:pPr>
      <w:r>
        <w:rPr>
          <w:rFonts w:hint="eastAsia" w:ascii="宋体" w:hAnsi="宋体"/>
          <w:b/>
          <w:sz w:val="24"/>
          <w:szCs w:val="24"/>
        </w:rPr>
        <w:t>15. 磋商截止时间</w:t>
      </w:r>
    </w:p>
    <w:p>
      <w:pPr>
        <w:spacing w:line="460" w:lineRule="exact"/>
        <w:ind w:left="567" w:hanging="567"/>
        <w:rPr>
          <w:rFonts w:ascii="宋体" w:hAnsi="宋体"/>
          <w:sz w:val="24"/>
          <w:szCs w:val="24"/>
        </w:rPr>
      </w:pPr>
      <w:r>
        <w:rPr>
          <w:rFonts w:hint="eastAsia" w:ascii="宋体" w:hAnsi="宋体"/>
          <w:sz w:val="24"/>
          <w:szCs w:val="24"/>
        </w:rPr>
        <w:t>15.1响应文件的递交地点：。</w:t>
      </w:r>
    </w:p>
    <w:p>
      <w:pPr>
        <w:spacing w:line="460" w:lineRule="exact"/>
        <w:ind w:left="567" w:hanging="567"/>
        <w:rPr>
          <w:rFonts w:ascii="宋体" w:hAnsi="宋体"/>
          <w:color w:val="FF0000"/>
          <w:sz w:val="24"/>
          <w:szCs w:val="24"/>
        </w:rPr>
      </w:pPr>
      <w:r>
        <w:rPr>
          <w:rFonts w:hint="eastAsia" w:ascii="宋体" w:hAnsi="宋体"/>
          <w:sz w:val="24"/>
          <w:szCs w:val="24"/>
        </w:rPr>
        <w:t xml:space="preserve">15.2 响应文件截止时间： </w:t>
      </w:r>
      <w:r>
        <w:rPr>
          <w:rFonts w:hint="eastAsia" w:ascii="宋体" w:hAnsi="宋体"/>
          <w:color w:val="FF0000"/>
          <w:sz w:val="24"/>
          <w:szCs w:val="24"/>
        </w:rPr>
        <w:t>2020年8月21日9时前。采购人将拒绝在响应截止时间后递交的响应文件。</w:t>
      </w:r>
    </w:p>
    <w:p>
      <w:pPr>
        <w:spacing w:line="460" w:lineRule="exact"/>
        <w:rPr>
          <w:rFonts w:ascii="宋体" w:hAnsi="宋体"/>
          <w:b/>
          <w:sz w:val="24"/>
          <w:szCs w:val="24"/>
        </w:rPr>
      </w:pPr>
      <w:r>
        <w:rPr>
          <w:rFonts w:hint="eastAsia" w:ascii="宋体" w:hAnsi="宋体"/>
          <w:b/>
          <w:sz w:val="24"/>
          <w:szCs w:val="24"/>
        </w:rPr>
        <w:t>16. 迟交的响应文件</w:t>
      </w:r>
    </w:p>
    <w:p>
      <w:pPr>
        <w:spacing w:line="460" w:lineRule="exact"/>
        <w:ind w:left="599" w:leftChars="228" w:hanging="120" w:hangingChars="50"/>
        <w:rPr>
          <w:rFonts w:ascii="宋体" w:hAnsi="宋体"/>
          <w:sz w:val="24"/>
          <w:szCs w:val="24"/>
        </w:rPr>
      </w:pPr>
      <w:r>
        <w:rPr>
          <w:rFonts w:hint="eastAsia" w:ascii="宋体" w:hAnsi="宋体"/>
          <w:sz w:val="24"/>
          <w:szCs w:val="24"/>
        </w:rPr>
        <w:t>在响应文件递交截止时间以后送达的响应文件</w:t>
      </w:r>
      <w:r>
        <w:rPr>
          <w:rFonts w:ascii="宋体" w:hAnsi="宋体"/>
          <w:sz w:val="24"/>
          <w:szCs w:val="24"/>
        </w:rPr>
        <w:t>为无效</w:t>
      </w:r>
      <w:r>
        <w:rPr>
          <w:rFonts w:hint="eastAsia" w:ascii="宋体" w:hAnsi="宋体"/>
          <w:sz w:val="24"/>
          <w:szCs w:val="24"/>
        </w:rPr>
        <w:t>响应</w:t>
      </w:r>
      <w:r>
        <w:rPr>
          <w:rFonts w:ascii="宋体" w:hAnsi="宋体"/>
          <w:sz w:val="24"/>
          <w:szCs w:val="24"/>
        </w:rPr>
        <w:t>文件</w:t>
      </w:r>
      <w:r>
        <w:rPr>
          <w:rFonts w:hint="eastAsia" w:ascii="宋体" w:hAnsi="宋体"/>
          <w:sz w:val="24"/>
          <w:szCs w:val="24"/>
        </w:rPr>
        <w:t xml:space="preserve">，采购人将拒收。 </w:t>
      </w:r>
    </w:p>
    <w:p>
      <w:pPr>
        <w:spacing w:line="460" w:lineRule="exact"/>
        <w:rPr>
          <w:rFonts w:ascii="宋体" w:hAnsi="宋体"/>
          <w:b/>
          <w:sz w:val="24"/>
          <w:szCs w:val="24"/>
        </w:rPr>
      </w:pPr>
      <w:r>
        <w:rPr>
          <w:rFonts w:hint="eastAsia" w:ascii="宋体" w:hAnsi="宋体"/>
          <w:b/>
          <w:sz w:val="24"/>
          <w:szCs w:val="24"/>
        </w:rPr>
        <w:t>17. 响应文件的补充、修改或撤回</w:t>
      </w:r>
    </w:p>
    <w:p>
      <w:pPr>
        <w:spacing w:line="460" w:lineRule="exact"/>
        <w:ind w:left="600" w:hanging="600" w:hangingChars="250"/>
        <w:rPr>
          <w:rFonts w:ascii="宋体" w:hAnsi="宋体"/>
          <w:sz w:val="24"/>
          <w:szCs w:val="24"/>
        </w:rPr>
      </w:pPr>
      <w:r>
        <w:rPr>
          <w:rFonts w:hint="eastAsia" w:ascii="宋体" w:hAnsi="宋体"/>
          <w:sz w:val="24"/>
          <w:szCs w:val="24"/>
        </w:rPr>
        <w:t>17.1供应商在提交响应文件截止时间前，可以对所提交的响应文件进行补充、修改或者撤回。补充、修改的内容作为响应文件的组成部分。补充、修改的内容与响应文件不一致的，以补充、修改的内容为准。</w:t>
      </w:r>
    </w:p>
    <w:p/>
    <w:p>
      <w:pPr>
        <w:pStyle w:val="6"/>
        <w:spacing w:before="0" w:after="0" w:line="460" w:lineRule="exact"/>
        <w:jc w:val="center"/>
        <w:rPr>
          <w:rFonts w:ascii="宋体" w:hAnsi="宋体" w:eastAsia="宋体"/>
          <w:sz w:val="28"/>
          <w:szCs w:val="28"/>
        </w:rPr>
      </w:pPr>
      <w:bookmarkStart w:id="14" w:name="_Toc48722658"/>
      <w:r>
        <w:rPr>
          <w:rFonts w:hint="eastAsia" w:ascii="宋体" w:hAnsi="宋体" w:eastAsia="宋体"/>
          <w:sz w:val="28"/>
          <w:szCs w:val="28"/>
        </w:rPr>
        <w:t>七、磋商</w:t>
      </w:r>
      <w:bookmarkEnd w:id="14"/>
    </w:p>
    <w:p>
      <w:pPr>
        <w:spacing w:line="460" w:lineRule="exact"/>
        <w:rPr>
          <w:rFonts w:ascii="宋体" w:hAnsi="宋体"/>
          <w:b/>
          <w:sz w:val="24"/>
          <w:szCs w:val="24"/>
        </w:rPr>
      </w:pPr>
      <w:r>
        <w:rPr>
          <w:rFonts w:hint="eastAsia" w:ascii="宋体" w:hAnsi="宋体"/>
          <w:b/>
          <w:sz w:val="24"/>
          <w:szCs w:val="24"/>
        </w:rPr>
        <w:t>18. 磋商组织</w:t>
      </w:r>
    </w:p>
    <w:p>
      <w:pPr>
        <w:spacing w:line="460" w:lineRule="exact"/>
        <w:ind w:left="563" w:leftChars="268"/>
        <w:rPr>
          <w:rFonts w:ascii="宋体" w:hAnsi="宋体"/>
          <w:sz w:val="24"/>
          <w:szCs w:val="24"/>
        </w:rPr>
      </w:pPr>
      <w:r>
        <w:rPr>
          <w:rFonts w:hint="eastAsia" w:ascii="宋体" w:hAnsi="宋体"/>
          <w:sz w:val="24"/>
          <w:szCs w:val="24"/>
        </w:rPr>
        <w:t>采购人在“磋商邀请”中规定的时间、地点组织磋商活动。</w:t>
      </w:r>
    </w:p>
    <w:p>
      <w:pPr>
        <w:autoSpaceDE w:val="0"/>
        <w:autoSpaceDN w:val="0"/>
        <w:adjustRightInd w:val="0"/>
        <w:spacing w:line="460" w:lineRule="exact"/>
        <w:ind w:left="602" w:hanging="602" w:hangingChars="250"/>
        <w:jc w:val="left"/>
        <w:rPr>
          <w:rFonts w:ascii="宋体" w:hAnsi="宋体"/>
          <w:b/>
          <w:sz w:val="24"/>
          <w:szCs w:val="24"/>
        </w:rPr>
      </w:pPr>
      <w:r>
        <w:rPr>
          <w:rFonts w:hint="eastAsia" w:ascii="宋体" w:hAnsi="宋体"/>
          <w:b/>
          <w:sz w:val="24"/>
          <w:szCs w:val="24"/>
        </w:rPr>
        <w:t>19.磋商小组</w:t>
      </w:r>
    </w:p>
    <w:p>
      <w:pPr>
        <w:spacing w:line="460" w:lineRule="exact"/>
        <w:ind w:left="479" w:leftChars="228"/>
        <w:rPr>
          <w:rFonts w:ascii="宋体" w:hAnsi="宋体"/>
          <w:sz w:val="24"/>
          <w:szCs w:val="24"/>
          <w:lang w:val="en-GB"/>
        </w:rPr>
      </w:pPr>
      <w:r>
        <w:rPr>
          <w:rFonts w:hint="eastAsia" w:ascii="宋体" w:hAnsi="宋体"/>
          <w:sz w:val="24"/>
          <w:szCs w:val="24"/>
          <w:lang w:val="en-GB"/>
        </w:rPr>
        <w:t xml:space="preserve"> 在相关的专家库中随机抽取评审专家，依法成立磋商小组。评审工作由磋商小组负责。</w:t>
      </w:r>
    </w:p>
    <w:p>
      <w:pPr>
        <w:spacing w:line="460" w:lineRule="exact"/>
        <w:rPr>
          <w:rFonts w:ascii="宋体" w:hAnsi="宋体"/>
          <w:b/>
          <w:sz w:val="24"/>
          <w:szCs w:val="24"/>
        </w:rPr>
      </w:pPr>
      <w:r>
        <w:rPr>
          <w:rFonts w:hint="eastAsia" w:ascii="宋体" w:hAnsi="宋体"/>
          <w:b/>
          <w:sz w:val="24"/>
          <w:szCs w:val="24"/>
        </w:rPr>
        <w:t>20. 磋商程序</w:t>
      </w:r>
    </w:p>
    <w:p>
      <w:pPr>
        <w:spacing w:line="460" w:lineRule="exact"/>
        <w:ind w:left="600" w:hanging="600" w:hangingChars="250"/>
        <w:rPr>
          <w:rFonts w:ascii="宋体" w:hAnsi="宋体"/>
          <w:sz w:val="24"/>
          <w:szCs w:val="24"/>
        </w:rPr>
      </w:pPr>
      <w:r>
        <w:rPr>
          <w:rFonts w:hint="eastAsia" w:ascii="宋体" w:hAnsi="宋体"/>
          <w:sz w:val="24"/>
          <w:szCs w:val="24"/>
        </w:rPr>
        <w:t>20.1 响应供应商在磋商现场检查响应文件的密封情况并确认。</w:t>
      </w:r>
    </w:p>
    <w:p>
      <w:pPr>
        <w:spacing w:line="460" w:lineRule="exact"/>
        <w:rPr>
          <w:rFonts w:ascii="宋体" w:hAnsi="宋体"/>
          <w:sz w:val="24"/>
          <w:szCs w:val="24"/>
        </w:rPr>
      </w:pPr>
      <w:r>
        <w:rPr>
          <w:rFonts w:ascii="宋体" w:hAnsi="宋体"/>
          <w:sz w:val="24"/>
          <w:szCs w:val="24"/>
        </w:rPr>
        <w:t>2</w:t>
      </w:r>
      <w:r>
        <w:rPr>
          <w:rFonts w:hint="eastAsia" w:ascii="宋体" w:hAnsi="宋体"/>
          <w:sz w:val="24"/>
          <w:szCs w:val="24"/>
        </w:rPr>
        <w:t>0.2响应文件的审查</w:t>
      </w:r>
    </w:p>
    <w:p>
      <w:pPr>
        <w:spacing w:line="460" w:lineRule="exact"/>
        <w:ind w:left="600" w:hanging="600" w:hangingChars="250"/>
        <w:rPr>
          <w:rFonts w:ascii="宋体" w:hAnsi="宋体" w:cs="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）磋商小组在对响应文件的有效性、完整性和响应程度进行审查时，可以要求供应商对响应文件中含义不明确、同类问题表述不一</w:t>
      </w:r>
      <w:r>
        <w:rPr>
          <w:rFonts w:hint="eastAsia" w:ascii="宋体" w:hAnsi="宋体" w:cs="宋体"/>
          <w:sz w:val="24"/>
          <w:szCs w:val="24"/>
        </w:rPr>
        <w:t>致或者有明显文字和计算错误的内容等作出必要的澄清、说明或者更正。供应商的澄清、说明或者更正不得超出响应文件的范围或者改变响应文件的实质性内容。</w:t>
      </w:r>
    </w:p>
    <w:p>
      <w:pPr>
        <w:spacing w:line="460" w:lineRule="exact"/>
        <w:ind w:left="720" w:hanging="720" w:hangingChars="300"/>
        <w:rPr>
          <w:rFonts w:ascii="宋体" w:hAnsi="宋体"/>
          <w:sz w:val="24"/>
          <w:szCs w:val="24"/>
          <w:lang w:val="en-GB"/>
        </w:rPr>
      </w:pPr>
      <w:r>
        <w:rPr>
          <w:rFonts w:hint="eastAsia" w:ascii="宋体" w:hAnsi="宋体"/>
          <w:sz w:val="24"/>
          <w:szCs w:val="24"/>
        </w:rPr>
        <w:t>（</w:t>
      </w:r>
      <w:r>
        <w:rPr>
          <w:rFonts w:ascii="宋体" w:hAnsi="宋体"/>
          <w:sz w:val="24"/>
          <w:szCs w:val="24"/>
        </w:rPr>
        <w:t>2</w:t>
      </w:r>
      <w:r>
        <w:rPr>
          <w:rFonts w:hint="eastAsia" w:ascii="宋体" w:hAnsi="宋体"/>
          <w:sz w:val="24"/>
          <w:szCs w:val="24"/>
        </w:rPr>
        <w:t>）磋商小组要求供应商澄清、说明或者更正响应文件应当以书面形式作出。供应商的澄清、说明或者更正应当由法定代表人或其授权代表签字或者加盖公章。由授权代表签字的，应当附法定</w:t>
      </w:r>
      <w:r>
        <w:rPr>
          <w:rFonts w:hint="eastAsia" w:ascii="宋体" w:hAnsi="宋体"/>
          <w:sz w:val="24"/>
          <w:szCs w:val="24"/>
          <w:lang w:val="en-GB"/>
        </w:rPr>
        <w:t>代表人授权书。供应商为自然人的，应当由本人签字并附身份证明。</w:t>
      </w:r>
    </w:p>
    <w:p>
      <w:pPr>
        <w:spacing w:line="460" w:lineRule="exact"/>
        <w:ind w:left="600" w:hanging="600" w:hangingChars="250"/>
        <w:rPr>
          <w:rFonts w:ascii="宋体" w:hAnsi="宋体" w:cs="宋体"/>
          <w:sz w:val="23"/>
          <w:szCs w:val="23"/>
        </w:rPr>
      </w:pPr>
      <w:r>
        <w:rPr>
          <w:rFonts w:hint="eastAsia" w:ascii="宋体" w:hAnsi="宋体"/>
          <w:sz w:val="24"/>
          <w:szCs w:val="24"/>
        </w:rPr>
        <w:t>20.3</w:t>
      </w:r>
      <w:r>
        <w:rPr>
          <w:rFonts w:hint="eastAsia" w:ascii="宋体" w:hAnsi="宋体"/>
          <w:sz w:val="24"/>
          <w:szCs w:val="24"/>
          <w:lang w:val="en-GB"/>
        </w:rPr>
        <w:t>磋商小组对各供应商的响应文件进行审查，并确定磋商内容。在有效性审查中出现下列情况者，响应文件被视为无效：</w:t>
      </w:r>
    </w:p>
    <w:p>
      <w:pPr>
        <w:numPr>
          <w:ilvl w:val="1"/>
          <w:numId w:val="6"/>
        </w:numPr>
        <w:spacing w:line="460" w:lineRule="exact"/>
        <w:rPr>
          <w:rFonts w:ascii="宋体" w:hAnsi="宋体"/>
          <w:sz w:val="24"/>
          <w:szCs w:val="24"/>
          <w:lang w:val="en-GB"/>
        </w:rPr>
      </w:pPr>
      <w:r>
        <w:rPr>
          <w:rFonts w:hint="eastAsia" w:ascii="宋体" w:hAnsi="宋体"/>
          <w:sz w:val="24"/>
          <w:szCs w:val="24"/>
          <w:lang w:val="en-GB"/>
        </w:rPr>
        <w:t>未提交磋商响应书；</w:t>
      </w:r>
    </w:p>
    <w:p>
      <w:pPr>
        <w:numPr>
          <w:ilvl w:val="1"/>
          <w:numId w:val="6"/>
        </w:numPr>
        <w:spacing w:line="460" w:lineRule="exact"/>
        <w:rPr>
          <w:rFonts w:ascii="宋体" w:hAnsi="宋体"/>
          <w:sz w:val="24"/>
          <w:szCs w:val="24"/>
          <w:lang w:val="en-GB"/>
        </w:rPr>
      </w:pPr>
      <w:r>
        <w:rPr>
          <w:rFonts w:hint="eastAsia" w:ascii="宋体" w:hAnsi="宋体"/>
          <w:sz w:val="24"/>
          <w:szCs w:val="24"/>
          <w:lang w:val="en-GB"/>
        </w:rPr>
        <w:t>未提交报价表；</w:t>
      </w:r>
    </w:p>
    <w:p>
      <w:pPr>
        <w:spacing w:line="460" w:lineRule="exact"/>
        <w:ind w:left="660"/>
        <w:rPr>
          <w:rFonts w:ascii="宋体" w:hAnsi="宋体"/>
          <w:sz w:val="24"/>
          <w:szCs w:val="24"/>
          <w:bdr w:val="single" w:color="auto" w:sz="4" w:space="0"/>
          <w:lang w:val="en-GB"/>
        </w:rPr>
      </w:pPr>
      <w:r>
        <w:rPr>
          <w:rFonts w:hint="eastAsia" w:ascii="宋体" w:hAnsi="宋体"/>
          <w:sz w:val="24"/>
          <w:szCs w:val="24"/>
        </w:rPr>
        <w:t>3</w:t>
      </w:r>
      <w:r>
        <w:rPr>
          <w:rFonts w:hint="eastAsia" w:ascii="宋体" w:hAnsi="宋体"/>
          <w:sz w:val="24"/>
          <w:szCs w:val="24"/>
          <w:lang w:val="en-GB"/>
        </w:rPr>
        <w:t>) 未按磋商</w:t>
      </w:r>
      <w:r>
        <w:rPr>
          <w:rFonts w:hint="eastAsia" w:ascii="宋体" w:hAnsi="宋体"/>
          <w:sz w:val="24"/>
          <w:szCs w:val="24"/>
        </w:rPr>
        <w:t>文件“第四章 响应文件格式”的规定提供</w:t>
      </w:r>
      <w:r>
        <w:rPr>
          <w:rFonts w:hint="eastAsia" w:ascii="宋体" w:hAnsi="宋体"/>
          <w:sz w:val="24"/>
          <w:szCs w:val="24"/>
          <w:lang w:val="en-GB"/>
        </w:rPr>
        <w:t>资格证明文件的；</w:t>
      </w:r>
    </w:p>
    <w:p>
      <w:pPr>
        <w:spacing w:line="460" w:lineRule="exact"/>
        <w:ind w:firstLine="720" w:firstLineChars="300"/>
        <w:rPr>
          <w:rFonts w:ascii="宋体" w:hAnsi="宋体"/>
          <w:sz w:val="24"/>
          <w:szCs w:val="24"/>
        </w:rPr>
      </w:pPr>
      <w:r>
        <w:rPr>
          <w:rFonts w:hint="eastAsia" w:ascii="宋体" w:hAnsi="宋体"/>
          <w:sz w:val="24"/>
          <w:szCs w:val="24"/>
        </w:rPr>
        <w:t>4）未按磋商文件要求签字、签章的，或签字（签章）人无法定代表人有效委托的；</w:t>
      </w:r>
    </w:p>
    <w:p>
      <w:pPr>
        <w:spacing w:line="460" w:lineRule="exact"/>
        <w:ind w:firstLine="720" w:firstLineChars="300"/>
        <w:rPr>
          <w:rFonts w:ascii="宋体" w:hAnsi="宋体"/>
          <w:sz w:val="24"/>
          <w:szCs w:val="24"/>
        </w:rPr>
      </w:pPr>
      <w:r>
        <w:rPr>
          <w:rFonts w:hint="eastAsia" w:ascii="宋体" w:hAnsi="宋体"/>
          <w:sz w:val="24"/>
          <w:szCs w:val="24"/>
        </w:rPr>
        <w:t>5）</w:t>
      </w:r>
      <w:r>
        <w:rPr>
          <w:rFonts w:hint="eastAsia" w:ascii="宋体" w:hAnsi="宋体"/>
          <w:sz w:val="24"/>
          <w:szCs w:val="24"/>
          <w:lang w:val="en-GB"/>
        </w:rPr>
        <w:t>磋商有效期响应不足的；</w:t>
      </w:r>
    </w:p>
    <w:p>
      <w:pPr>
        <w:spacing w:line="460" w:lineRule="exact"/>
        <w:ind w:firstLine="720" w:firstLineChars="300"/>
        <w:rPr>
          <w:rFonts w:ascii="宋体" w:hAnsi="宋体"/>
          <w:sz w:val="24"/>
          <w:szCs w:val="24"/>
          <w:lang w:val="en-GB"/>
        </w:rPr>
      </w:pPr>
      <w:r>
        <w:rPr>
          <w:rFonts w:hint="eastAsia" w:ascii="宋体" w:hAnsi="宋体"/>
          <w:sz w:val="24"/>
          <w:szCs w:val="24"/>
        </w:rPr>
        <w:t>6）</w:t>
      </w:r>
      <w:r>
        <w:rPr>
          <w:rFonts w:hint="eastAsia" w:ascii="宋体" w:hAnsi="宋体"/>
          <w:sz w:val="24"/>
          <w:szCs w:val="24"/>
          <w:lang w:val="en-GB"/>
        </w:rPr>
        <w:t>文件响应内容与事实不符或虚假响应的；</w:t>
      </w:r>
    </w:p>
    <w:p>
      <w:pPr>
        <w:spacing w:line="460" w:lineRule="exact"/>
        <w:ind w:left="659" w:leftChars="314"/>
        <w:rPr>
          <w:rFonts w:ascii="宋体" w:hAnsi="宋体"/>
          <w:sz w:val="24"/>
          <w:szCs w:val="24"/>
        </w:rPr>
      </w:pPr>
      <w:r>
        <w:rPr>
          <w:rFonts w:hint="eastAsia" w:ascii="宋体" w:hAnsi="宋体"/>
          <w:sz w:val="24"/>
          <w:szCs w:val="24"/>
        </w:rPr>
        <w:t>7）磋商文件规定的其他响应无效条款。</w:t>
      </w:r>
    </w:p>
    <w:p>
      <w:pPr>
        <w:spacing w:line="460" w:lineRule="exact"/>
        <w:rPr>
          <w:rFonts w:ascii="宋体" w:hAnsi="宋体"/>
          <w:b/>
          <w:sz w:val="24"/>
          <w:szCs w:val="24"/>
        </w:rPr>
      </w:pPr>
      <w:r>
        <w:rPr>
          <w:rFonts w:hint="eastAsia" w:ascii="宋体" w:hAnsi="宋体"/>
          <w:b/>
          <w:sz w:val="24"/>
          <w:szCs w:val="24"/>
        </w:rPr>
        <w:t>21. 与磋商小组的接触</w:t>
      </w:r>
    </w:p>
    <w:p>
      <w:pPr>
        <w:spacing w:line="460" w:lineRule="exact"/>
        <w:ind w:firstLine="480" w:firstLineChars="200"/>
        <w:rPr>
          <w:rFonts w:ascii="宋体" w:hAnsi="宋体"/>
          <w:sz w:val="24"/>
          <w:szCs w:val="24"/>
          <w:lang w:val="en-GB"/>
        </w:rPr>
      </w:pPr>
      <w:r>
        <w:rPr>
          <w:rFonts w:hint="eastAsia" w:ascii="宋体" w:hAnsi="宋体"/>
          <w:sz w:val="24"/>
          <w:szCs w:val="24"/>
          <w:lang w:val="en-GB"/>
        </w:rPr>
        <w:t>供应商试图对磋商小组的评审施加任何影响，都可能导致其响应文件作无效处理。</w:t>
      </w:r>
    </w:p>
    <w:p>
      <w:pPr>
        <w:spacing w:line="460" w:lineRule="exact"/>
        <w:rPr>
          <w:rFonts w:ascii="宋体" w:hAnsi="宋体"/>
          <w:b/>
          <w:sz w:val="24"/>
          <w:szCs w:val="24"/>
        </w:rPr>
      </w:pPr>
      <w:bookmarkStart w:id="15" w:name="_Toc376848253"/>
      <w:r>
        <w:rPr>
          <w:rFonts w:hint="eastAsia" w:ascii="宋体" w:hAnsi="宋体"/>
          <w:b/>
          <w:sz w:val="24"/>
          <w:szCs w:val="24"/>
        </w:rPr>
        <w:t xml:space="preserve">22. </w:t>
      </w:r>
      <w:r>
        <w:rPr>
          <w:rFonts w:ascii="宋体" w:hAnsi="宋体"/>
          <w:b/>
          <w:sz w:val="24"/>
          <w:szCs w:val="24"/>
        </w:rPr>
        <w:t>终止</w:t>
      </w:r>
      <w:r>
        <w:rPr>
          <w:rFonts w:hint="eastAsia" w:ascii="宋体" w:hAnsi="宋体"/>
          <w:b/>
          <w:sz w:val="24"/>
          <w:szCs w:val="24"/>
        </w:rPr>
        <w:t>磋商</w:t>
      </w:r>
      <w:r>
        <w:rPr>
          <w:rFonts w:ascii="宋体" w:hAnsi="宋体"/>
          <w:b/>
          <w:sz w:val="24"/>
          <w:szCs w:val="24"/>
        </w:rPr>
        <w:t>活动</w:t>
      </w:r>
      <w:r>
        <w:rPr>
          <w:rFonts w:hint="eastAsia" w:ascii="宋体" w:hAnsi="宋体"/>
          <w:b/>
          <w:sz w:val="24"/>
          <w:szCs w:val="24"/>
        </w:rPr>
        <w:t>的</w:t>
      </w:r>
      <w:r>
        <w:rPr>
          <w:rFonts w:ascii="宋体" w:hAnsi="宋体"/>
          <w:b/>
          <w:sz w:val="24"/>
          <w:szCs w:val="24"/>
        </w:rPr>
        <w:t>情形</w:t>
      </w:r>
    </w:p>
    <w:p>
      <w:pPr>
        <w:spacing w:line="460" w:lineRule="exact"/>
        <w:ind w:firstLine="360" w:firstLineChars="150"/>
        <w:rPr>
          <w:rFonts w:ascii="宋体" w:hAnsi="宋体"/>
          <w:sz w:val="24"/>
          <w:szCs w:val="24"/>
          <w:lang w:val="en-GB"/>
        </w:rPr>
      </w:pPr>
      <w:r>
        <w:rPr>
          <w:rFonts w:hint="eastAsia" w:ascii="宋体" w:hAnsi="宋体"/>
          <w:sz w:val="24"/>
          <w:szCs w:val="24"/>
        </w:rPr>
        <w:t>出现下列情形之一的，终止磋商采购活动：</w:t>
      </w:r>
    </w:p>
    <w:p>
      <w:pPr>
        <w:spacing w:line="460" w:lineRule="exact"/>
        <w:ind w:firstLine="540" w:firstLineChars="225"/>
        <w:rPr>
          <w:rFonts w:ascii="宋体" w:hAnsi="宋体"/>
          <w:sz w:val="24"/>
          <w:szCs w:val="24"/>
        </w:rPr>
      </w:pPr>
      <w:r>
        <w:rPr>
          <w:rFonts w:hint="eastAsia" w:ascii="宋体" w:hAnsi="宋体"/>
          <w:sz w:val="24"/>
          <w:szCs w:val="24"/>
        </w:rPr>
        <w:t>（1）</w:t>
      </w:r>
      <w:r>
        <w:rPr>
          <w:rFonts w:ascii="宋体" w:hAnsi="宋体"/>
          <w:sz w:val="24"/>
          <w:szCs w:val="24"/>
        </w:rPr>
        <w:t>因情况变化，不再符合规定的</w:t>
      </w:r>
      <w:r>
        <w:rPr>
          <w:rFonts w:hint="eastAsia" w:ascii="宋体" w:hAnsi="宋体"/>
          <w:sz w:val="24"/>
          <w:szCs w:val="24"/>
        </w:rPr>
        <w:t>磋商</w:t>
      </w:r>
      <w:r>
        <w:rPr>
          <w:rFonts w:ascii="宋体" w:hAnsi="宋体"/>
          <w:sz w:val="24"/>
          <w:szCs w:val="24"/>
        </w:rPr>
        <w:t>采购方式适用情形的；</w:t>
      </w:r>
    </w:p>
    <w:p>
      <w:pPr>
        <w:spacing w:line="460" w:lineRule="exact"/>
        <w:ind w:firstLine="540" w:firstLineChars="225"/>
        <w:rPr>
          <w:rFonts w:ascii="宋体" w:hAnsi="宋体"/>
          <w:sz w:val="24"/>
          <w:szCs w:val="24"/>
        </w:rPr>
      </w:pPr>
      <w:r>
        <w:rPr>
          <w:rFonts w:hint="eastAsia" w:ascii="宋体" w:hAnsi="宋体"/>
          <w:sz w:val="24"/>
          <w:szCs w:val="24"/>
        </w:rPr>
        <w:t>（2）</w:t>
      </w:r>
      <w:r>
        <w:rPr>
          <w:rFonts w:ascii="宋体" w:hAnsi="宋体"/>
          <w:sz w:val="24"/>
          <w:szCs w:val="24"/>
        </w:rPr>
        <w:t>出现影响采购公正的违法、违规行为的。</w:t>
      </w:r>
    </w:p>
    <w:p>
      <w:pPr>
        <w:pStyle w:val="6"/>
        <w:spacing w:before="0" w:after="0" w:line="460" w:lineRule="exact"/>
        <w:jc w:val="center"/>
        <w:rPr>
          <w:rFonts w:ascii="宋体" w:hAnsi="宋体" w:eastAsia="宋体" w:cs="宋体"/>
          <w:color w:val="0D0D0D"/>
          <w:sz w:val="28"/>
          <w:szCs w:val="28"/>
        </w:rPr>
      </w:pPr>
    </w:p>
    <w:p>
      <w:pPr>
        <w:pStyle w:val="6"/>
        <w:spacing w:before="0" w:after="0" w:line="460" w:lineRule="exact"/>
        <w:jc w:val="center"/>
        <w:rPr>
          <w:rFonts w:ascii="宋体" w:hAnsi="宋体" w:eastAsia="宋体" w:cs="宋体"/>
          <w:color w:val="0D0D0D"/>
          <w:sz w:val="28"/>
          <w:szCs w:val="28"/>
        </w:rPr>
      </w:pPr>
    </w:p>
    <w:p>
      <w:pPr>
        <w:pStyle w:val="6"/>
        <w:spacing w:before="0" w:after="0" w:line="460" w:lineRule="exact"/>
        <w:jc w:val="center"/>
        <w:rPr>
          <w:rFonts w:ascii="宋体" w:hAnsi="宋体" w:eastAsia="宋体" w:cs="宋体"/>
          <w:color w:val="0D0D0D"/>
          <w:sz w:val="28"/>
          <w:szCs w:val="28"/>
        </w:rPr>
      </w:pPr>
      <w:bookmarkStart w:id="16" w:name="_Toc48722659"/>
      <w:r>
        <w:rPr>
          <w:rFonts w:hint="eastAsia" w:ascii="宋体" w:hAnsi="宋体" w:eastAsia="宋体" w:cs="宋体"/>
          <w:color w:val="0D0D0D"/>
          <w:sz w:val="28"/>
          <w:szCs w:val="28"/>
        </w:rPr>
        <w:t>八、</w:t>
      </w:r>
      <w:r>
        <w:rPr>
          <w:rFonts w:hint="eastAsia" w:ascii="宋体" w:hAnsi="宋体" w:eastAsia="宋体" w:cs="宋体"/>
          <w:sz w:val="28"/>
          <w:szCs w:val="28"/>
        </w:rPr>
        <w:t>定标</w:t>
      </w:r>
      <w:bookmarkEnd w:id="16"/>
    </w:p>
    <w:p>
      <w:pPr>
        <w:pStyle w:val="6"/>
        <w:spacing w:before="0" w:after="0" w:line="460" w:lineRule="exact"/>
        <w:rPr>
          <w:rFonts w:ascii="宋体" w:hAnsi="宋体" w:eastAsia="宋体" w:cs="宋体"/>
          <w:b w:val="0"/>
          <w:bCs w:val="0"/>
          <w:color w:val="0D0D0D"/>
          <w:sz w:val="28"/>
          <w:szCs w:val="28"/>
        </w:rPr>
      </w:pPr>
      <w:bookmarkStart w:id="17" w:name="_Toc48722660"/>
      <w:bookmarkStart w:id="18" w:name="_Toc48575825"/>
      <w:r>
        <w:rPr>
          <w:rFonts w:hint="eastAsia" w:ascii="宋体" w:hAnsi="宋体" w:eastAsia="宋体" w:cs="宋体"/>
          <w:b w:val="0"/>
          <w:bCs w:val="0"/>
          <w:color w:val="0D0D0D"/>
          <w:sz w:val="28"/>
          <w:szCs w:val="28"/>
        </w:rPr>
        <w:t>综合分数最高者中标。</w:t>
      </w:r>
      <w:bookmarkEnd w:id="17"/>
      <w:bookmarkEnd w:id="18"/>
    </w:p>
    <w:p>
      <w:pPr>
        <w:spacing w:line="360" w:lineRule="auto"/>
        <w:jc w:val="left"/>
        <w:rPr>
          <w:rFonts w:ascii="宋体" w:hAnsi="宋体" w:cs="宋体"/>
          <w:color w:val="000000"/>
          <w:kern w:val="0"/>
          <w:szCs w:val="21"/>
        </w:rPr>
      </w:pPr>
    </w:p>
    <w:p>
      <w:pPr>
        <w:spacing w:line="360" w:lineRule="auto"/>
        <w:jc w:val="left"/>
        <w:rPr>
          <w:rFonts w:ascii="宋体" w:hAnsi="宋体" w:cs="宋体"/>
          <w:color w:val="000000"/>
          <w:kern w:val="0"/>
          <w:szCs w:val="21"/>
        </w:rPr>
      </w:pPr>
    </w:p>
    <w:p>
      <w:pPr>
        <w:spacing w:line="360" w:lineRule="auto"/>
        <w:jc w:val="left"/>
        <w:rPr>
          <w:rFonts w:ascii="宋体" w:hAnsi="宋体" w:cs="宋体"/>
          <w:color w:val="000000"/>
          <w:kern w:val="0"/>
          <w:szCs w:val="21"/>
        </w:rPr>
      </w:pPr>
    </w:p>
    <w:p>
      <w:pPr>
        <w:spacing w:line="360" w:lineRule="auto"/>
        <w:jc w:val="left"/>
        <w:rPr>
          <w:rFonts w:ascii="宋体" w:hAnsi="宋体" w:cs="宋体"/>
          <w:color w:val="000000"/>
          <w:kern w:val="0"/>
          <w:szCs w:val="21"/>
        </w:rPr>
      </w:pPr>
    </w:p>
    <w:p>
      <w:pPr>
        <w:spacing w:line="360" w:lineRule="auto"/>
        <w:jc w:val="left"/>
        <w:rPr>
          <w:rFonts w:ascii="宋体" w:hAnsi="宋体" w:cs="宋体"/>
          <w:color w:val="000000"/>
          <w:kern w:val="0"/>
          <w:szCs w:val="21"/>
        </w:rPr>
      </w:pPr>
    </w:p>
    <w:p>
      <w:pPr>
        <w:spacing w:line="360" w:lineRule="auto"/>
        <w:jc w:val="left"/>
        <w:rPr>
          <w:rFonts w:ascii="仿宋" w:hAnsi="仿宋" w:eastAsia="仿宋"/>
          <w:sz w:val="32"/>
          <w:szCs w:val="32"/>
        </w:rPr>
      </w:pPr>
      <w:r>
        <w:rPr>
          <w:rFonts w:hint="eastAsia" w:ascii="宋体" w:hAnsi="宋体" w:cs="宋体"/>
          <w:color w:val="000000"/>
          <w:kern w:val="0"/>
          <w:szCs w:val="21"/>
        </w:rPr>
        <w:t>附表一：沙盘模型制作招标综合评分表</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综合评分表</w:t>
      </w:r>
    </w:p>
    <w:tbl>
      <w:tblPr>
        <w:tblStyle w:val="16"/>
        <w:tblW w:w="10265" w:type="dxa"/>
        <w:jc w:val="center"/>
        <w:tblLayout w:type="fixed"/>
        <w:tblCellMar>
          <w:top w:w="0" w:type="dxa"/>
          <w:left w:w="108" w:type="dxa"/>
          <w:bottom w:w="0" w:type="dxa"/>
          <w:right w:w="108" w:type="dxa"/>
        </w:tblCellMar>
      </w:tblPr>
      <w:tblGrid>
        <w:gridCol w:w="662"/>
        <w:gridCol w:w="1395"/>
        <w:gridCol w:w="5040"/>
        <w:gridCol w:w="871"/>
        <w:gridCol w:w="2297"/>
      </w:tblGrid>
      <w:tr>
        <w:tblPrEx>
          <w:tblCellMar>
            <w:top w:w="0" w:type="dxa"/>
            <w:left w:w="108" w:type="dxa"/>
            <w:bottom w:w="0" w:type="dxa"/>
            <w:right w:w="108" w:type="dxa"/>
          </w:tblCellMar>
        </w:tblPrEx>
        <w:trPr>
          <w:cantSplit/>
          <w:trHeight w:val="743" w:hRule="atLeast"/>
          <w:jc w:val="center"/>
        </w:trPr>
        <w:tc>
          <w:tcPr>
            <w:tcW w:w="66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39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项目</w:t>
            </w:r>
          </w:p>
          <w:p>
            <w:pPr>
              <w:widowControl/>
              <w:jc w:val="center"/>
              <w:rPr>
                <w:rFonts w:ascii="宋体" w:hAnsi="宋体" w:cs="宋体"/>
                <w:kern w:val="0"/>
                <w:szCs w:val="21"/>
              </w:rPr>
            </w:pPr>
            <w:r>
              <w:rPr>
                <w:rFonts w:hint="eastAsia" w:ascii="宋体" w:hAnsi="宋体" w:cs="宋体"/>
                <w:kern w:val="0"/>
                <w:szCs w:val="21"/>
              </w:rPr>
              <w:t>内容</w:t>
            </w:r>
          </w:p>
        </w:tc>
        <w:tc>
          <w:tcPr>
            <w:tcW w:w="50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评分标准</w:t>
            </w:r>
          </w:p>
        </w:tc>
        <w:tc>
          <w:tcPr>
            <w:tcW w:w="87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总分值</w:t>
            </w:r>
          </w:p>
        </w:tc>
        <w:tc>
          <w:tcPr>
            <w:tcW w:w="2297" w:type="dxa"/>
            <w:tcBorders>
              <w:top w:val="single" w:color="auto" w:sz="4" w:space="0"/>
              <w:left w:val="single" w:color="auto" w:sz="4" w:space="0"/>
              <w:right w:val="single" w:color="auto" w:sz="4" w:space="0"/>
            </w:tcBorders>
            <w:noWrap/>
            <w:vAlign w:val="bottom"/>
          </w:tcPr>
          <w:p>
            <w:pPr>
              <w:jc w:val="center"/>
            </w:pPr>
            <w:r>
              <w:rPr>
                <w:rFonts w:hint="eastAsia"/>
              </w:rPr>
              <w:t>得分</w:t>
            </w:r>
          </w:p>
        </w:tc>
      </w:tr>
      <w:tr>
        <w:tblPrEx>
          <w:tblCellMar>
            <w:top w:w="0" w:type="dxa"/>
            <w:left w:w="108" w:type="dxa"/>
            <w:bottom w:w="0" w:type="dxa"/>
            <w:right w:w="108" w:type="dxa"/>
          </w:tblCellMar>
        </w:tblPrEx>
        <w:trPr>
          <w:trHeight w:val="47" w:hRule="atLeast"/>
          <w:jc w:val="center"/>
        </w:trPr>
        <w:tc>
          <w:tcPr>
            <w:tcW w:w="66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p>
        </w:tc>
        <w:tc>
          <w:tcPr>
            <w:tcW w:w="139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p>
        </w:tc>
        <w:tc>
          <w:tcPr>
            <w:tcW w:w="50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p>
        </w:tc>
        <w:tc>
          <w:tcPr>
            <w:tcW w:w="87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p>
        </w:tc>
        <w:tc>
          <w:tcPr>
            <w:tcW w:w="2297" w:type="dxa"/>
            <w:tcBorders>
              <w:left w:val="single" w:color="auto" w:sz="4" w:space="0"/>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1186" w:hRule="atLeast"/>
          <w:jc w:val="center"/>
        </w:trPr>
        <w:tc>
          <w:tcPr>
            <w:tcW w:w="6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3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价格评分</w:t>
            </w:r>
          </w:p>
        </w:tc>
        <w:tc>
          <w:tcPr>
            <w:tcW w:w="504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宋体" w:hAnsi="宋体" w:cs="宋体"/>
                <w:szCs w:val="21"/>
              </w:rPr>
            </w:pPr>
            <w:r>
              <w:rPr>
                <w:rFonts w:hint="eastAsia" w:ascii="宋体" w:hAnsi="宋体" w:cs="宋体"/>
                <w:szCs w:val="21"/>
              </w:rPr>
              <w:t>价格分采用低价优先法计算，即满足磋商文件要求且最后报价最低的磋商报价为评标基准价，其价格分为满分。其他供应商的价格分统一按下列公式计算：</w:t>
            </w:r>
          </w:p>
          <w:p>
            <w:pPr>
              <w:widowControl/>
              <w:spacing w:line="400" w:lineRule="exact"/>
              <w:jc w:val="left"/>
              <w:rPr>
                <w:rFonts w:ascii="宋体" w:hAnsi="宋体" w:cs="宋体"/>
                <w:szCs w:val="21"/>
              </w:rPr>
            </w:pPr>
            <w:r>
              <w:rPr>
                <w:rFonts w:hint="eastAsia" w:ascii="宋体" w:hAnsi="宋体" w:cs="宋体"/>
                <w:szCs w:val="21"/>
              </w:rPr>
              <w:t>磋商报价得分=（评标基准价/磋商报价）×15分</w:t>
            </w:r>
          </w:p>
          <w:p>
            <w:pPr>
              <w:spacing w:line="460" w:lineRule="exact"/>
              <w:ind w:left="735" w:hanging="735" w:hangingChars="350"/>
              <w:rPr>
                <w:rFonts w:ascii="宋体" w:hAnsi="宋体" w:cs="宋体"/>
                <w:szCs w:val="21"/>
              </w:rPr>
            </w:pPr>
            <w:r>
              <w:rPr>
                <w:rFonts w:hint="eastAsia" w:ascii="宋体" w:hAnsi="宋体" w:cs="宋体"/>
                <w:szCs w:val="21"/>
              </w:rPr>
              <w:t>注：（1）对小型和微型企业产品的价格给予6%的扣除，用扣除后的价格参与评审。</w:t>
            </w:r>
          </w:p>
          <w:p>
            <w:pPr>
              <w:spacing w:line="460" w:lineRule="exact"/>
              <w:ind w:left="735" w:leftChars="150" w:hanging="420" w:hangingChars="200"/>
              <w:rPr>
                <w:rFonts w:ascii="宋体" w:hAnsi="宋体" w:cs="宋体"/>
                <w:szCs w:val="21"/>
              </w:rPr>
            </w:pPr>
            <w:r>
              <w:rPr>
                <w:rFonts w:hint="eastAsia" w:ascii="宋体" w:hAnsi="宋体" w:cs="宋体"/>
                <w:szCs w:val="21"/>
              </w:rPr>
              <w:t>（2）监狱企业视同小型、微型企业，享受评审中价格扣除等政府促进中小企业发展的政府采购政策。</w:t>
            </w:r>
          </w:p>
          <w:p>
            <w:pPr>
              <w:spacing w:line="460" w:lineRule="exact"/>
              <w:ind w:left="840" w:leftChars="150" w:hanging="525" w:hangingChars="250"/>
              <w:rPr>
                <w:rFonts w:ascii="宋体" w:hAnsi="宋体" w:cs="宋体"/>
                <w:szCs w:val="21"/>
              </w:rPr>
            </w:pPr>
            <w:r>
              <w:rPr>
                <w:rFonts w:hint="eastAsia" w:ascii="宋体" w:hAnsi="宋体" w:cs="宋体"/>
                <w:szCs w:val="21"/>
              </w:rPr>
              <w:t>（3）残疾人福利性单位视同小型、微型企业，享受评审中价格扣除等政府促进中小企业发展的政府采购政策；福利性单位属于小型、微型企业的，不重复享受政策。</w:t>
            </w:r>
          </w:p>
          <w:p>
            <w:pPr>
              <w:widowControl/>
              <w:spacing w:line="440" w:lineRule="exact"/>
              <w:ind w:left="840" w:leftChars="150" w:hanging="525" w:hangingChars="250"/>
              <w:jc w:val="left"/>
              <w:rPr>
                <w:rFonts w:ascii="宋体" w:hAnsi="宋体" w:cs="宋体"/>
                <w:szCs w:val="21"/>
              </w:rPr>
            </w:pPr>
            <w:r>
              <w:rPr>
                <w:rFonts w:hint="eastAsia" w:ascii="宋体" w:hAnsi="宋体" w:cs="宋体"/>
                <w:szCs w:val="21"/>
              </w:rPr>
              <w:t>（4）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适用于联合体参加磋商）</w:t>
            </w:r>
            <w:r>
              <w:rPr>
                <w:rFonts w:hint="eastAsia" w:ascii="宋体" w:hAnsi="宋体" w:cs="宋体"/>
                <w:szCs w:val="21"/>
              </w:rPr>
              <w:br w:type="textWrapping"/>
            </w:r>
            <w:r>
              <w:rPr>
                <w:rFonts w:hint="eastAsia" w:ascii="宋体" w:hAnsi="宋体" w:cs="宋体"/>
                <w:szCs w:val="21"/>
              </w:rPr>
              <w:t>　　联合体各方均为小型、微型企业的，联合体视同为小型、微型企业。（适用于联合体参加磋商）</w:t>
            </w:r>
          </w:p>
          <w:p>
            <w:pPr>
              <w:widowControl/>
              <w:spacing w:line="360" w:lineRule="auto"/>
              <w:jc w:val="left"/>
              <w:rPr>
                <w:rFonts w:ascii="宋体" w:hAnsi="宋体"/>
                <w:kern w:val="0"/>
                <w:sz w:val="24"/>
                <w:szCs w:val="24"/>
              </w:rPr>
            </w:pPr>
            <w:r>
              <w:rPr>
                <w:rFonts w:hint="eastAsia" w:ascii="宋体" w:hAnsi="宋体" w:cs="宋体"/>
                <w:szCs w:val="21"/>
              </w:rPr>
              <w:t>说明：以上所述产品在本项目中指最终的工程成果。</w:t>
            </w:r>
          </w:p>
        </w:tc>
        <w:tc>
          <w:tcPr>
            <w:tcW w:w="8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30</w:t>
            </w:r>
          </w:p>
        </w:tc>
        <w:tc>
          <w:tcPr>
            <w:tcW w:w="22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1186" w:hRule="atLeast"/>
          <w:jc w:val="center"/>
        </w:trPr>
        <w:tc>
          <w:tcPr>
            <w:tcW w:w="6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13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类似项目经验（10分）</w:t>
            </w:r>
          </w:p>
        </w:tc>
        <w:tc>
          <w:tcPr>
            <w:tcW w:w="5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Cs w:val="21"/>
              </w:rPr>
            </w:pPr>
            <w:r>
              <w:rPr>
                <w:rFonts w:hint="eastAsia" w:ascii="宋体" w:hAnsi="宋体" w:cs="宋体"/>
                <w:szCs w:val="21"/>
              </w:rPr>
              <w:t>投标人自 2018 年 1 月至投标截止前承接过 5 以上(不含个)模型项目的制作案例，包含模型实物图片、效果视频及应用科技手段，完全满足得5分，每增加一个项目得1分，最多加5分。</w:t>
            </w:r>
          </w:p>
        </w:tc>
        <w:tc>
          <w:tcPr>
            <w:tcW w:w="8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10</w:t>
            </w:r>
          </w:p>
        </w:tc>
        <w:tc>
          <w:tcPr>
            <w:tcW w:w="22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11" w:hRule="atLeast"/>
          <w:jc w:val="center"/>
        </w:trPr>
        <w:tc>
          <w:tcPr>
            <w:tcW w:w="6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13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模型方案的完整性（10分）</w:t>
            </w:r>
          </w:p>
        </w:tc>
        <w:tc>
          <w:tcPr>
            <w:tcW w:w="5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Cs w:val="21"/>
              </w:rPr>
            </w:pPr>
            <w:r>
              <w:rPr>
                <w:rFonts w:hint="eastAsia" w:ascii="宋体" w:hAnsi="宋体" w:cs="宋体"/>
                <w:szCs w:val="21"/>
              </w:rPr>
              <w:t>根据本项目招标函的要求，沙盘模型方案具有针对性、全面性、完整性、合理性；能够清楚表达设计理念；能充分展示项目所在区位、地段、环境等各项优势。</w:t>
            </w:r>
          </w:p>
          <w:p>
            <w:pPr>
              <w:rPr>
                <w:rFonts w:ascii="宋体" w:hAnsi="宋体" w:cs="宋体"/>
                <w:b/>
                <w:szCs w:val="21"/>
              </w:rPr>
            </w:pPr>
            <w:r>
              <w:rPr>
                <w:rFonts w:hint="eastAsia" w:ascii="宋体" w:hAnsi="宋体" w:cs="宋体"/>
                <w:b/>
                <w:szCs w:val="21"/>
              </w:rPr>
              <w:t>评审依据：磋商响应文件中的模型方案</w:t>
            </w:r>
          </w:p>
          <w:p>
            <w:pPr>
              <w:rPr>
                <w:rFonts w:ascii="宋体" w:hAnsi="宋体" w:cs="宋体"/>
                <w:szCs w:val="21"/>
              </w:rPr>
            </w:pPr>
            <w:r>
              <w:rPr>
                <w:rFonts w:hint="eastAsia" w:ascii="宋体" w:hAnsi="宋体" w:cs="宋体"/>
                <w:szCs w:val="21"/>
              </w:rPr>
              <w:t>（优秀得7-10分，良好得4-6分，其他得0-3分）</w:t>
            </w:r>
          </w:p>
        </w:tc>
        <w:tc>
          <w:tcPr>
            <w:tcW w:w="8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10</w:t>
            </w:r>
          </w:p>
        </w:tc>
        <w:tc>
          <w:tcPr>
            <w:tcW w:w="22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03" w:hRule="atLeast"/>
          <w:jc w:val="center"/>
        </w:trPr>
        <w:tc>
          <w:tcPr>
            <w:tcW w:w="66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1395" w:type="dxa"/>
            <w:vMerge w:val="restart"/>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kern w:val="0"/>
                <w:szCs w:val="21"/>
              </w:rPr>
            </w:pPr>
            <w:r>
              <w:rPr>
                <w:rFonts w:hint="eastAsia" w:ascii="宋体" w:hAnsi="宋体" w:cs="宋体"/>
                <w:kern w:val="0"/>
                <w:szCs w:val="21"/>
              </w:rPr>
              <w:t>模型品质感</w:t>
            </w:r>
          </w:p>
          <w:p>
            <w:pPr>
              <w:rPr>
                <w:rFonts w:ascii="宋体" w:hAnsi="宋体" w:cs="宋体"/>
                <w:kern w:val="0"/>
                <w:szCs w:val="21"/>
              </w:rPr>
            </w:pPr>
            <w:r>
              <w:rPr>
                <w:rFonts w:hint="eastAsia" w:ascii="宋体" w:hAnsi="宋体" w:cs="宋体"/>
                <w:kern w:val="0"/>
                <w:szCs w:val="21"/>
              </w:rPr>
              <w:t>（20分）</w:t>
            </w:r>
          </w:p>
        </w:tc>
        <w:tc>
          <w:tcPr>
            <w:tcW w:w="5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Cs w:val="21"/>
              </w:rPr>
            </w:pPr>
            <w:r>
              <w:rPr>
                <w:rFonts w:hint="eastAsia" w:ascii="宋体" w:hAnsi="宋体" w:cs="宋体"/>
                <w:szCs w:val="21"/>
              </w:rPr>
              <w:t>模型符合招标函的要求、效果精美，比例设置合理，能体现整体的协调性。</w:t>
            </w:r>
          </w:p>
          <w:p>
            <w:pPr>
              <w:pStyle w:val="2"/>
              <w:ind w:left="0" w:leftChars="0" w:firstLine="0" w:firstLineChars="0"/>
            </w:pPr>
            <w:r>
              <w:rPr>
                <w:rFonts w:hint="eastAsia" w:ascii="宋体" w:hAnsi="宋体" w:cs="宋体"/>
                <w:b/>
                <w:szCs w:val="21"/>
              </w:rPr>
              <w:t>评审依据：磋商响应文件</w:t>
            </w:r>
          </w:p>
          <w:p>
            <w:pPr>
              <w:rPr>
                <w:rFonts w:ascii="宋体" w:hAnsi="宋体" w:cs="宋体"/>
                <w:szCs w:val="21"/>
              </w:rPr>
            </w:pPr>
            <w:r>
              <w:rPr>
                <w:rFonts w:hint="eastAsia" w:ascii="宋体" w:hAnsi="宋体" w:cs="宋体"/>
                <w:szCs w:val="21"/>
              </w:rPr>
              <w:t>（优秀得7-10分，良好得4-6分，其他得0-3分）</w:t>
            </w:r>
          </w:p>
        </w:tc>
        <w:tc>
          <w:tcPr>
            <w:tcW w:w="8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10</w:t>
            </w:r>
          </w:p>
        </w:tc>
        <w:tc>
          <w:tcPr>
            <w:tcW w:w="229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715" w:hRule="atLeast"/>
          <w:jc w:val="center"/>
        </w:trPr>
        <w:tc>
          <w:tcPr>
            <w:tcW w:w="66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p>
        </w:tc>
        <w:tc>
          <w:tcPr>
            <w:tcW w:w="139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p>
        </w:tc>
        <w:tc>
          <w:tcPr>
            <w:tcW w:w="5040"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szCs w:val="21"/>
              </w:rPr>
            </w:pPr>
            <w:r>
              <w:rPr>
                <w:rFonts w:hint="eastAsia" w:ascii="宋体" w:hAnsi="宋体" w:cs="宋体"/>
                <w:szCs w:val="21"/>
              </w:rPr>
              <w:t>模型品质度、呈现的美观度、与项目风格的契合度。</w:t>
            </w:r>
          </w:p>
          <w:p>
            <w:pPr>
              <w:pStyle w:val="2"/>
              <w:ind w:left="0" w:leftChars="0" w:firstLine="0" w:firstLineChars="0"/>
              <w:rPr>
                <w:rFonts w:ascii="宋体" w:hAnsi="宋体" w:cs="宋体"/>
                <w:b/>
                <w:szCs w:val="21"/>
              </w:rPr>
            </w:pPr>
            <w:r>
              <w:rPr>
                <w:rFonts w:hint="eastAsia" w:ascii="宋体" w:hAnsi="宋体" w:cs="宋体"/>
                <w:b/>
                <w:szCs w:val="21"/>
              </w:rPr>
              <w:t>评审依据：磋商响应文件</w:t>
            </w:r>
          </w:p>
          <w:p>
            <w:pPr>
              <w:pStyle w:val="2"/>
              <w:ind w:left="0" w:leftChars="0" w:firstLine="0" w:firstLineChars="0"/>
            </w:pPr>
            <w:r>
              <w:rPr>
                <w:rFonts w:hint="eastAsia" w:ascii="宋体" w:hAnsi="宋体" w:cs="宋体"/>
                <w:szCs w:val="21"/>
              </w:rPr>
              <w:t>（优秀得7-10分，良好得4-6分，其他得0-3分）</w:t>
            </w:r>
          </w:p>
        </w:tc>
        <w:tc>
          <w:tcPr>
            <w:tcW w:w="8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szCs w:val="21"/>
              </w:rPr>
              <w:t>10</w:t>
            </w:r>
          </w:p>
        </w:tc>
        <w:tc>
          <w:tcPr>
            <w:tcW w:w="229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37" w:hRule="atLeast"/>
          <w:jc w:val="center"/>
        </w:trPr>
        <w:tc>
          <w:tcPr>
            <w:tcW w:w="6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139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kern w:val="0"/>
                <w:szCs w:val="21"/>
              </w:rPr>
            </w:pPr>
            <w:r>
              <w:rPr>
                <w:rFonts w:hint="eastAsia" w:ascii="宋体" w:hAnsi="宋体" w:cs="宋体"/>
                <w:kern w:val="0"/>
                <w:szCs w:val="21"/>
              </w:rPr>
              <w:t>模型声光电表现效果</w:t>
            </w:r>
          </w:p>
          <w:p>
            <w:pPr>
              <w:rPr>
                <w:rFonts w:ascii="宋体" w:hAnsi="宋体" w:cs="宋体"/>
                <w:kern w:val="0"/>
                <w:szCs w:val="21"/>
              </w:rPr>
            </w:pPr>
            <w:r>
              <w:rPr>
                <w:rFonts w:hint="eastAsia" w:ascii="宋体" w:hAnsi="宋体" w:cs="宋体"/>
                <w:kern w:val="0"/>
                <w:szCs w:val="21"/>
              </w:rPr>
              <w:t>（10分）</w:t>
            </w:r>
          </w:p>
        </w:tc>
        <w:tc>
          <w:tcPr>
            <w:tcW w:w="5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Cs w:val="21"/>
              </w:rPr>
            </w:pPr>
            <w:r>
              <w:rPr>
                <w:rFonts w:hint="eastAsia" w:ascii="宋体" w:hAnsi="宋体" w:cs="宋体"/>
                <w:szCs w:val="21"/>
              </w:rPr>
              <w:t>沙盘模型采用LED灯光与多媒体交互软件相结合，配合声光电效果，充分展示模型沙盘中的各类相关信息，达到全方位互动式的多媒体展现效果。</w:t>
            </w:r>
          </w:p>
          <w:p>
            <w:pPr>
              <w:pStyle w:val="2"/>
              <w:ind w:left="0" w:leftChars="0" w:firstLine="0" w:firstLineChars="0"/>
            </w:pPr>
            <w:r>
              <w:rPr>
                <w:rFonts w:hint="eastAsia" w:ascii="宋体" w:hAnsi="宋体" w:cs="宋体"/>
                <w:b/>
                <w:szCs w:val="21"/>
              </w:rPr>
              <w:t>评审依据：磋商响应文件</w:t>
            </w:r>
          </w:p>
          <w:p>
            <w:pPr>
              <w:rPr>
                <w:rFonts w:ascii="宋体" w:hAnsi="宋体" w:cs="宋体"/>
                <w:szCs w:val="21"/>
              </w:rPr>
            </w:pPr>
            <w:r>
              <w:rPr>
                <w:rFonts w:hint="eastAsia" w:ascii="宋体" w:hAnsi="宋体" w:cs="宋体"/>
                <w:szCs w:val="21"/>
              </w:rPr>
              <w:t>（优秀得7-10分，良好得4-6分，其他得0-3分）</w:t>
            </w:r>
          </w:p>
        </w:tc>
        <w:tc>
          <w:tcPr>
            <w:tcW w:w="8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10</w:t>
            </w:r>
          </w:p>
        </w:tc>
        <w:tc>
          <w:tcPr>
            <w:tcW w:w="22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6</w:t>
            </w:r>
          </w:p>
        </w:tc>
        <w:tc>
          <w:tcPr>
            <w:tcW w:w="1395"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模型材质表现（10分）</w:t>
            </w:r>
          </w:p>
        </w:tc>
        <w:tc>
          <w:tcPr>
            <w:tcW w:w="5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Cs w:val="21"/>
              </w:rPr>
            </w:pPr>
            <w:r>
              <w:rPr>
                <w:rFonts w:hint="eastAsia" w:ascii="宋体" w:hAnsi="宋体" w:cs="宋体"/>
                <w:szCs w:val="21"/>
              </w:rPr>
              <w:t>沙盘选材配置合理、制作出的模型显档次、外观精致优美、美观平整、展示效果非常好；材料的质量及环保性符合国家及行业相关要求；沙盘的制作工艺的完善性。</w:t>
            </w:r>
          </w:p>
          <w:p>
            <w:pPr>
              <w:rPr>
                <w:rFonts w:ascii="宋体" w:hAnsi="宋体" w:cs="宋体"/>
                <w:b/>
                <w:szCs w:val="21"/>
              </w:rPr>
            </w:pPr>
            <w:r>
              <w:rPr>
                <w:rFonts w:hint="eastAsia" w:ascii="宋体" w:hAnsi="宋体" w:cs="宋体"/>
                <w:b/>
                <w:szCs w:val="21"/>
              </w:rPr>
              <w:t>评审依据：磋商响应文件</w:t>
            </w:r>
          </w:p>
          <w:p>
            <w:pPr>
              <w:rPr>
                <w:rFonts w:ascii="宋体" w:hAnsi="宋体" w:cs="宋体"/>
                <w:szCs w:val="21"/>
              </w:rPr>
            </w:pPr>
            <w:r>
              <w:rPr>
                <w:rFonts w:hint="eastAsia" w:ascii="宋体" w:hAnsi="宋体" w:cs="宋体"/>
                <w:szCs w:val="21"/>
              </w:rPr>
              <w:t>（优秀得7-10分，良好得4-6分，其他得0-3分）</w:t>
            </w:r>
          </w:p>
        </w:tc>
        <w:tc>
          <w:tcPr>
            <w:tcW w:w="8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10</w:t>
            </w:r>
          </w:p>
        </w:tc>
        <w:tc>
          <w:tcPr>
            <w:tcW w:w="22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03" w:hRule="atLeast"/>
          <w:jc w:val="center"/>
        </w:trPr>
        <w:tc>
          <w:tcPr>
            <w:tcW w:w="6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7</w:t>
            </w:r>
          </w:p>
        </w:tc>
        <w:tc>
          <w:tcPr>
            <w:tcW w:w="139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kern w:val="0"/>
                <w:szCs w:val="21"/>
              </w:rPr>
            </w:pPr>
            <w:r>
              <w:rPr>
                <w:rFonts w:hint="eastAsia" w:ascii="宋体" w:hAnsi="宋体" w:cs="宋体"/>
                <w:kern w:val="0"/>
                <w:szCs w:val="21"/>
              </w:rPr>
              <w:t>其他优化建议（10分）</w:t>
            </w:r>
          </w:p>
        </w:tc>
        <w:tc>
          <w:tcPr>
            <w:tcW w:w="5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Cs w:val="21"/>
              </w:rPr>
            </w:pPr>
            <w:r>
              <w:rPr>
                <w:rFonts w:hint="eastAsia" w:ascii="宋体" w:hAnsi="宋体" w:cs="宋体"/>
                <w:szCs w:val="21"/>
              </w:rPr>
              <w:t>根据本项目的需求及项目实际情况，投标人提出合理、科学、可行性的优化建议，结合项目属性提出模型制作创意亮点。</w:t>
            </w:r>
          </w:p>
          <w:p>
            <w:pPr>
              <w:rPr>
                <w:rFonts w:ascii="宋体" w:hAnsi="宋体" w:cs="宋体"/>
                <w:b/>
                <w:szCs w:val="21"/>
              </w:rPr>
            </w:pPr>
            <w:r>
              <w:rPr>
                <w:rFonts w:hint="eastAsia" w:ascii="宋体" w:hAnsi="宋体" w:cs="宋体"/>
                <w:b/>
                <w:szCs w:val="21"/>
              </w:rPr>
              <w:t>评审依据：磋商响应文件</w:t>
            </w:r>
          </w:p>
          <w:p>
            <w:pPr>
              <w:rPr>
                <w:rFonts w:ascii="宋体" w:hAnsi="宋体" w:cs="宋体"/>
                <w:szCs w:val="21"/>
              </w:rPr>
            </w:pPr>
            <w:r>
              <w:rPr>
                <w:rFonts w:hint="eastAsia" w:ascii="宋体" w:hAnsi="宋体" w:cs="宋体"/>
                <w:szCs w:val="21"/>
              </w:rPr>
              <w:t>（优秀得7-10分，良好得4-6分，其他得0-3分）</w:t>
            </w:r>
          </w:p>
        </w:tc>
        <w:tc>
          <w:tcPr>
            <w:tcW w:w="8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10</w:t>
            </w:r>
          </w:p>
        </w:tc>
        <w:tc>
          <w:tcPr>
            <w:tcW w:w="22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788" w:hRule="atLeast"/>
          <w:jc w:val="center"/>
        </w:trPr>
        <w:tc>
          <w:tcPr>
            <w:tcW w:w="6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8　</w:t>
            </w:r>
          </w:p>
        </w:tc>
        <w:tc>
          <w:tcPr>
            <w:tcW w:w="643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总分</w:t>
            </w:r>
          </w:p>
        </w:tc>
        <w:tc>
          <w:tcPr>
            <w:tcW w:w="8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100</w:t>
            </w:r>
          </w:p>
        </w:tc>
        <w:tc>
          <w:tcPr>
            <w:tcW w:w="22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r>
    </w:tbl>
    <w:p>
      <w:pPr>
        <w:jc w:val="left"/>
        <w:rPr>
          <w:rFonts w:ascii="宋体" w:hAnsi="宋体" w:cs="宋体"/>
          <w:bCs/>
          <w:color w:val="0D0D0D"/>
          <w:sz w:val="28"/>
          <w:szCs w:val="28"/>
        </w:rPr>
      </w:pPr>
    </w:p>
    <w:p>
      <w:pPr>
        <w:pStyle w:val="2"/>
        <w:ind w:left="0" w:leftChars="0" w:firstLine="0" w:firstLineChars="0"/>
      </w:pPr>
    </w:p>
    <w:p>
      <w:pPr>
        <w:jc w:val="left"/>
        <w:rPr>
          <w:rFonts w:ascii="宋体" w:hAnsi="宋体" w:cs="宋体"/>
          <w:bCs/>
          <w:color w:val="0D0D0D"/>
          <w:sz w:val="28"/>
          <w:szCs w:val="28"/>
        </w:rPr>
      </w:pPr>
    </w:p>
    <w:tbl>
      <w:tblPr>
        <w:tblStyle w:val="16"/>
        <w:tblW w:w="9440" w:type="dxa"/>
        <w:tblInd w:w="93" w:type="dxa"/>
        <w:tblLayout w:type="autofit"/>
        <w:tblCellMar>
          <w:top w:w="0" w:type="dxa"/>
          <w:left w:w="108" w:type="dxa"/>
          <w:bottom w:w="0" w:type="dxa"/>
          <w:right w:w="108" w:type="dxa"/>
        </w:tblCellMar>
      </w:tblPr>
      <w:tblGrid>
        <w:gridCol w:w="9440"/>
      </w:tblGrid>
      <w:tr>
        <w:tblPrEx>
          <w:tblCellMar>
            <w:top w:w="0" w:type="dxa"/>
            <w:left w:w="108" w:type="dxa"/>
            <w:bottom w:w="0" w:type="dxa"/>
            <w:right w:w="108" w:type="dxa"/>
          </w:tblCellMar>
        </w:tblPrEx>
        <w:trPr>
          <w:trHeight w:val="559" w:hRule="atLeast"/>
        </w:trPr>
        <w:tc>
          <w:tcPr>
            <w:tcW w:w="9440" w:type="dxa"/>
            <w:tcBorders>
              <w:top w:val="nil"/>
              <w:left w:val="nil"/>
              <w:bottom w:val="nil"/>
              <w:right w:val="nil"/>
            </w:tcBorders>
            <w:noWrap/>
            <w:vAlign w:val="center"/>
          </w:tcPr>
          <w:p>
            <w:pPr>
              <w:widowControl/>
              <w:jc w:val="left"/>
              <w:rPr>
                <w:rFonts w:ascii="宋体" w:hAnsi="宋体" w:cs="宋体"/>
                <w:b/>
                <w:bCs/>
                <w:kern w:val="0"/>
                <w:sz w:val="22"/>
                <w:szCs w:val="22"/>
              </w:rPr>
            </w:pPr>
          </w:p>
          <w:p>
            <w:pPr>
              <w:widowControl/>
              <w:jc w:val="left"/>
              <w:rPr>
                <w:rFonts w:ascii="宋体" w:hAnsi="宋体" w:cs="宋体"/>
                <w:b/>
                <w:bCs/>
                <w:kern w:val="0"/>
                <w:sz w:val="22"/>
                <w:szCs w:val="22"/>
              </w:rPr>
            </w:pPr>
          </w:p>
          <w:p>
            <w:pPr>
              <w:widowControl/>
              <w:jc w:val="left"/>
              <w:rPr>
                <w:rFonts w:ascii="宋体" w:hAnsi="宋体" w:cs="宋体"/>
                <w:b/>
                <w:bCs/>
                <w:kern w:val="0"/>
                <w:sz w:val="22"/>
                <w:szCs w:val="22"/>
              </w:rPr>
            </w:pPr>
          </w:p>
        </w:tc>
      </w:tr>
    </w:tbl>
    <w:p>
      <w:pPr>
        <w:jc w:val="left"/>
        <w:rPr>
          <w:rFonts w:ascii="仿宋" w:hAnsi="仿宋" w:eastAsia="仿宋"/>
          <w:bCs/>
          <w:color w:val="0D0D0D"/>
          <w:sz w:val="28"/>
          <w:szCs w:val="28"/>
        </w:rPr>
      </w:pPr>
    </w:p>
    <w:p>
      <w:pPr>
        <w:pStyle w:val="2"/>
      </w:pPr>
      <w:bookmarkStart w:id="19" w:name="_Toc463859524"/>
      <w:bookmarkStart w:id="20" w:name="_Toc377297026"/>
    </w:p>
    <w:p>
      <w:pPr>
        <w:pStyle w:val="6"/>
        <w:spacing w:before="0" w:after="0" w:line="460" w:lineRule="exact"/>
        <w:jc w:val="center"/>
        <w:rPr>
          <w:rFonts w:ascii="宋体" w:hAnsi="宋体" w:eastAsia="宋体"/>
          <w:sz w:val="28"/>
          <w:szCs w:val="28"/>
        </w:rPr>
      </w:pPr>
      <w:bookmarkStart w:id="21" w:name="_Toc48722661"/>
      <w:r>
        <w:rPr>
          <w:rFonts w:hint="eastAsia" w:ascii="宋体" w:hAnsi="宋体" w:eastAsia="宋体"/>
          <w:sz w:val="28"/>
          <w:szCs w:val="28"/>
        </w:rPr>
        <w:t>九、推荐成交候选供应商、确定成交供应商</w:t>
      </w:r>
      <w:bookmarkEnd w:id="19"/>
      <w:bookmarkEnd w:id="21"/>
    </w:p>
    <w:p>
      <w:pPr>
        <w:spacing w:line="460" w:lineRule="exact"/>
        <w:ind w:left="482" w:hanging="482" w:hangingChars="200"/>
        <w:rPr>
          <w:rFonts w:ascii="宋体" w:hAnsi="宋体"/>
          <w:b/>
          <w:sz w:val="24"/>
          <w:szCs w:val="24"/>
        </w:rPr>
      </w:pPr>
      <w:r>
        <w:rPr>
          <w:rFonts w:hint="eastAsia" w:ascii="宋体" w:hAnsi="宋体"/>
          <w:b/>
          <w:sz w:val="24"/>
          <w:szCs w:val="24"/>
        </w:rPr>
        <w:t>23. 推荐成交候选供应商方法</w:t>
      </w:r>
    </w:p>
    <w:p>
      <w:pPr>
        <w:spacing w:line="460" w:lineRule="exact"/>
        <w:ind w:left="480" w:hanging="480" w:hangingChars="200"/>
        <w:rPr>
          <w:rFonts w:ascii="宋体" w:hAnsi="宋体"/>
          <w:b/>
          <w:sz w:val="24"/>
          <w:szCs w:val="24"/>
        </w:rPr>
      </w:pPr>
      <w:r>
        <w:rPr>
          <w:rFonts w:hint="eastAsia" w:ascii="宋体" w:hAnsi="宋体"/>
          <w:sz w:val="24"/>
          <w:szCs w:val="24"/>
        </w:rPr>
        <w:t>（1）磋商小组根据报价情况，按照价格由低到高顺序推荐3名以上成交候选供应商，并编写评审报告。</w:t>
      </w:r>
    </w:p>
    <w:p>
      <w:pPr>
        <w:spacing w:line="460" w:lineRule="exact"/>
        <w:ind w:left="482" w:hanging="482" w:hangingChars="200"/>
        <w:rPr>
          <w:rFonts w:ascii="宋体" w:hAnsi="宋体"/>
          <w:b/>
          <w:bCs/>
          <w:sz w:val="24"/>
          <w:szCs w:val="24"/>
        </w:rPr>
      </w:pPr>
      <w:r>
        <w:rPr>
          <w:rFonts w:hint="eastAsia" w:ascii="宋体" w:hAnsi="宋体"/>
          <w:b/>
          <w:bCs/>
          <w:sz w:val="24"/>
          <w:szCs w:val="24"/>
        </w:rPr>
        <w:t>24. 确定成交供应商</w:t>
      </w:r>
    </w:p>
    <w:p>
      <w:pPr>
        <w:spacing w:line="440" w:lineRule="exact"/>
        <w:ind w:left="480" w:hanging="480" w:hangingChars="200"/>
        <w:rPr>
          <w:rFonts w:hint="eastAsia" w:ascii="宋体" w:hAnsi="宋体"/>
          <w:sz w:val="24"/>
          <w:szCs w:val="24"/>
        </w:rPr>
      </w:pPr>
      <w:r>
        <w:rPr>
          <w:rFonts w:hint="eastAsia" w:ascii="宋体" w:hAnsi="宋体"/>
          <w:sz w:val="24"/>
          <w:szCs w:val="24"/>
        </w:rPr>
        <w:t>（1）按照评审报告推荐的成交候选人顺序确定成交供应商。</w:t>
      </w:r>
    </w:p>
    <w:p>
      <w:pPr>
        <w:pStyle w:val="2"/>
        <w:rPr>
          <w:rFonts w:hint="eastAsia"/>
        </w:rPr>
      </w:pPr>
    </w:p>
    <w:p>
      <w:pPr>
        <w:pStyle w:val="2"/>
      </w:pPr>
    </w:p>
    <w:p>
      <w:pPr>
        <w:pStyle w:val="6"/>
        <w:spacing w:before="0" w:after="0" w:line="460" w:lineRule="exact"/>
        <w:ind w:firstLine="3238" w:firstLineChars="1152"/>
        <w:jc w:val="left"/>
        <w:rPr>
          <w:rFonts w:ascii="宋体" w:hAnsi="宋体" w:eastAsia="宋体"/>
          <w:sz w:val="28"/>
          <w:szCs w:val="28"/>
        </w:rPr>
      </w:pPr>
      <w:bookmarkStart w:id="22" w:name="_Toc48722662"/>
      <w:r>
        <w:rPr>
          <w:rFonts w:hint="eastAsia" w:ascii="宋体" w:hAnsi="宋体" w:eastAsia="宋体"/>
          <w:sz w:val="28"/>
          <w:szCs w:val="28"/>
        </w:rPr>
        <w:t>十、</w:t>
      </w:r>
      <w:bookmarkEnd w:id="15"/>
      <w:bookmarkEnd w:id="20"/>
      <w:bookmarkStart w:id="23" w:name="_Toc376848254"/>
      <w:bookmarkStart w:id="24" w:name="_Toc286758340"/>
      <w:r>
        <w:rPr>
          <w:rFonts w:hint="eastAsia" w:ascii="宋体" w:hAnsi="宋体" w:eastAsia="宋体"/>
          <w:sz w:val="28"/>
          <w:szCs w:val="28"/>
        </w:rPr>
        <w:t>成交结果公告、</w:t>
      </w:r>
      <w:bookmarkEnd w:id="23"/>
      <w:r>
        <w:rPr>
          <w:rFonts w:hint="eastAsia" w:ascii="宋体" w:hAnsi="宋体" w:eastAsia="宋体"/>
          <w:sz w:val="28"/>
          <w:szCs w:val="28"/>
        </w:rPr>
        <w:t>成交通知书</w:t>
      </w:r>
      <w:bookmarkEnd w:id="22"/>
    </w:p>
    <w:p>
      <w:pPr>
        <w:spacing w:line="440" w:lineRule="exact"/>
        <w:rPr>
          <w:rFonts w:ascii="宋体" w:hAnsi="宋体"/>
          <w:b/>
          <w:bCs/>
          <w:sz w:val="24"/>
          <w:szCs w:val="24"/>
        </w:rPr>
      </w:pPr>
      <w:r>
        <w:rPr>
          <w:rFonts w:hint="eastAsia" w:ascii="宋体" w:hAnsi="宋体"/>
          <w:b/>
          <w:bCs/>
          <w:sz w:val="24"/>
          <w:szCs w:val="24"/>
        </w:rPr>
        <w:t xml:space="preserve">25. </w:t>
      </w:r>
      <w:bookmarkEnd w:id="24"/>
      <w:r>
        <w:rPr>
          <w:rFonts w:hint="eastAsia" w:ascii="宋体" w:hAnsi="宋体"/>
          <w:b/>
          <w:bCs/>
          <w:sz w:val="24"/>
          <w:szCs w:val="24"/>
        </w:rPr>
        <w:t>成交公告</w:t>
      </w:r>
    </w:p>
    <w:p>
      <w:pPr>
        <w:spacing w:line="340" w:lineRule="exact"/>
        <w:ind w:firstLine="480" w:firstLineChars="200"/>
        <w:rPr>
          <w:rFonts w:ascii="宋体" w:hAnsi="宋体"/>
          <w:sz w:val="24"/>
          <w:szCs w:val="24"/>
        </w:rPr>
      </w:pPr>
      <w:r>
        <w:rPr>
          <w:rFonts w:hint="eastAsia" w:ascii="宋体" w:hAnsi="宋体"/>
          <w:sz w:val="24"/>
          <w:szCs w:val="24"/>
        </w:rPr>
        <w:t>成交供应商确定后，</w:t>
      </w:r>
      <w:r>
        <w:rPr>
          <w:rFonts w:hint="eastAsia" w:ascii="宋体" w:hAnsi="宋体"/>
          <w:sz w:val="24"/>
          <w:szCs w:val="22"/>
        </w:rPr>
        <w:t>采购人在采购人门户网站公告栏进行公示，公示期3天。</w:t>
      </w:r>
    </w:p>
    <w:p>
      <w:pPr>
        <w:spacing w:line="440" w:lineRule="exact"/>
        <w:rPr>
          <w:rFonts w:ascii="宋体" w:hAnsi="宋体"/>
          <w:b/>
          <w:bCs/>
          <w:sz w:val="24"/>
          <w:szCs w:val="24"/>
        </w:rPr>
      </w:pPr>
      <w:r>
        <w:rPr>
          <w:rFonts w:hint="eastAsia" w:ascii="宋体" w:hAnsi="宋体"/>
          <w:b/>
          <w:bCs/>
          <w:sz w:val="24"/>
          <w:szCs w:val="24"/>
        </w:rPr>
        <w:t>26.成交通知书</w:t>
      </w:r>
    </w:p>
    <w:p>
      <w:pPr>
        <w:spacing w:line="440" w:lineRule="exact"/>
        <w:ind w:left="480" w:hanging="480" w:hangingChars="200"/>
        <w:rPr>
          <w:rFonts w:ascii="宋体" w:hAnsi="宋体"/>
          <w:sz w:val="24"/>
          <w:szCs w:val="24"/>
        </w:rPr>
      </w:pPr>
      <w:r>
        <w:rPr>
          <w:rFonts w:hint="eastAsia" w:ascii="宋体" w:hAnsi="宋体"/>
          <w:sz w:val="24"/>
          <w:szCs w:val="24"/>
        </w:rPr>
        <w:t>26.1采购人公告成交结果，向成交供应商发出成交通知书。</w:t>
      </w:r>
    </w:p>
    <w:p>
      <w:pPr>
        <w:spacing w:line="440" w:lineRule="exact"/>
        <w:rPr>
          <w:rFonts w:ascii="宋体" w:hAnsi="宋体"/>
          <w:sz w:val="24"/>
          <w:szCs w:val="24"/>
        </w:rPr>
      </w:pPr>
      <w:r>
        <w:rPr>
          <w:rFonts w:hint="eastAsia" w:ascii="宋体" w:hAnsi="宋体"/>
          <w:sz w:val="24"/>
          <w:szCs w:val="24"/>
        </w:rPr>
        <w:t>26.2成交通知书是合同的一个组成部分。</w:t>
      </w:r>
    </w:p>
    <w:p>
      <w:pPr>
        <w:tabs>
          <w:tab w:val="left" w:pos="3654"/>
        </w:tabs>
        <w:spacing w:line="440" w:lineRule="exact"/>
        <w:rPr>
          <w:rFonts w:ascii="宋体" w:hAnsi="宋体"/>
          <w:sz w:val="24"/>
          <w:szCs w:val="24"/>
        </w:rPr>
      </w:pPr>
      <w:r>
        <w:rPr>
          <w:rFonts w:ascii="宋体" w:hAnsi="宋体"/>
          <w:sz w:val="24"/>
          <w:szCs w:val="24"/>
        </w:rPr>
        <w:tab/>
      </w:r>
    </w:p>
    <w:p>
      <w:pPr>
        <w:widowControl/>
        <w:jc w:val="left"/>
        <w:rPr>
          <w:rFonts w:ascii="宋体" w:hAnsi="宋体"/>
          <w:sz w:val="24"/>
          <w:szCs w:val="24"/>
        </w:rPr>
      </w:pPr>
      <w:r>
        <w:rPr>
          <w:rFonts w:ascii="宋体" w:hAnsi="宋体"/>
          <w:sz w:val="24"/>
          <w:szCs w:val="24"/>
        </w:rPr>
        <w:br w:type="page"/>
      </w:r>
    </w:p>
    <w:p>
      <w:pPr>
        <w:pStyle w:val="5"/>
        <w:jc w:val="center"/>
        <w:rPr>
          <w:rFonts w:ascii="仿宋_GB2312" w:hAnsi="宋体" w:eastAsia="仿宋_GB2312"/>
        </w:rPr>
      </w:pPr>
      <w:bookmarkStart w:id="25" w:name="_Toc498611429"/>
      <w:bookmarkStart w:id="26" w:name="_Toc48722663"/>
      <w:r>
        <w:rPr>
          <w:rFonts w:hint="eastAsia" w:eastAsia="仿宋_GB2312"/>
          <w:b/>
          <w:bCs/>
          <w:sz w:val="32"/>
        </w:rPr>
        <w:t>第三章　</w:t>
      </w:r>
      <w:bookmarkStart w:id="27" w:name="_Toc225565935"/>
      <w:bookmarkStart w:id="28" w:name="_Toc387418052"/>
      <w:r>
        <w:rPr>
          <w:rFonts w:hint="eastAsia"/>
          <w:b/>
          <w:sz w:val="32"/>
          <w:szCs w:val="32"/>
        </w:rPr>
        <w:t>拟签订的合同文本</w:t>
      </w:r>
      <w:bookmarkEnd w:id="25"/>
      <w:bookmarkEnd w:id="26"/>
    </w:p>
    <w:p>
      <w:pPr>
        <w:spacing w:line="420" w:lineRule="exact"/>
        <w:rPr>
          <w:rFonts w:ascii="仿宋" w:hAnsi="仿宋" w:eastAsia="仿宋" w:cs="仿宋"/>
          <w:kern w:val="0"/>
          <w:sz w:val="32"/>
          <w:szCs w:val="32"/>
        </w:rPr>
      </w:pPr>
    </w:p>
    <w:p>
      <w:pPr>
        <w:widowControl/>
        <w:adjustRightInd w:val="0"/>
        <w:snapToGrid w:val="0"/>
        <w:spacing w:line="360" w:lineRule="auto"/>
        <w:jc w:val="center"/>
        <w:rPr>
          <w:rFonts w:ascii="仿宋" w:hAnsi="仿宋" w:eastAsia="仿宋"/>
          <w:sz w:val="28"/>
          <w:szCs w:val="28"/>
        </w:rPr>
      </w:pPr>
      <w:bookmarkStart w:id="29" w:name="_Toc286758354"/>
    </w:p>
    <w:p>
      <w:pPr>
        <w:spacing w:line="500" w:lineRule="exact"/>
        <w:ind w:firstLine="562" w:firstLineChars="200"/>
        <w:jc w:val="center"/>
        <w:outlineLvl w:val="1"/>
        <w:rPr>
          <w:rFonts w:ascii="宋体" w:hAnsi="宋体"/>
          <w:b/>
          <w:color w:val="000000"/>
          <w:sz w:val="28"/>
          <w:szCs w:val="28"/>
        </w:rPr>
      </w:pPr>
      <w:bookmarkStart w:id="30" w:name="_Toc11124"/>
      <w:bookmarkStart w:id="31" w:name="_Toc48722664"/>
      <w:bookmarkStart w:id="32" w:name="_Toc48575829"/>
      <w:r>
        <w:rPr>
          <w:rFonts w:hint="eastAsia" w:ascii="宋体" w:hAnsi="宋体"/>
          <w:b/>
          <w:color w:val="000000"/>
          <w:sz w:val="28"/>
          <w:szCs w:val="28"/>
        </w:rPr>
        <w:t>沙盘制作采购合同</w:t>
      </w:r>
      <w:bookmarkEnd w:id="30"/>
      <w:bookmarkEnd w:id="31"/>
      <w:bookmarkEnd w:id="32"/>
    </w:p>
    <w:p>
      <w:pPr>
        <w:spacing w:line="500" w:lineRule="exact"/>
        <w:ind w:firstLine="562" w:firstLineChars="200"/>
        <w:rPr>
          <w:rFonts w:ascii="宋体" w:hAnsi="宋体"/>
          <w:b/>
          <w:color w:val="000000"/>
          <w:sz w:val="28"/>
          <w:szCs w:val="28"/>
        </w:rPr>
      </w:pPr>
    </w:p>
    <w:p>
      <w:pPr>
        <w:spacing w:line="500" w:lineRule="exact"/>
        <w:ind w:firstLine="562" w:firstLineChars="200"/>
        <w:rPr>
          <w:rFonts w:ascii="宋体" w:hAnsi="宋体"/>
          <w:b/>
          <w:color w:val="000000"/>
          <w:sz w:val="28"/>
          <w:szCs w:val="28"/>
        </w:rPr>
      </w:pPr>
      <w:r>
        <w:rPr>
          <w:rFonts w:hint="eastAsia" w:ascii="宋体" w:hAnsi="宋体"/>
          <w:b/>
          <w:color w:val="000000"/>
          <w:sz w:val="28"/>
          <w:szCs w:val="28"/>
        </w:rPr>
        <w:t>甲方：</w:t>
      </w:r>
    </w:p>
    <w:p>
      <w:pPr>
        <w:spacing w:line="500" w:lineRule="exact"/>
        <w:ind w:firstLine="562" w:firstLineChars="200"/>
        <w:rPr>
          <w:rFonts w:ascii="宋体" w:hAnsi="宋体"/>
          <w:b/>
          <w:sz w:val="28"/>
          <w:szCs w:val="28"/>
        </w:rPr>
      </w:pPr>
      <w:r>
        <w:rPr>
          <w:rFonts w:hint="eastAsia" w:ascii="宋体" w:hAnsi="宋体"/>
          <w:b/>
          <w:sz w:val="28"/>
          <w:szCs w:val="28"/>
        </w:rPr>
        <w:t xml:space="preserve">乙方： </w:t>
      </w:r>
    </w:p>
    <w:p>
      <w:pPr>
        <w:spacing w:line="520" w:lineRule="exact"/>
        <w:rPr>
          <w:rFonts w:ascii="宋体" w:hAnsi="宋体"/>
          <w:sz w:val="28"/>
          <w:szCs w:val="28"/>
        </w:rPr>
      </w:pPr>
    </w:p>
    <w:p>
      <w:pPr>
        <w:spacing w:line="520" w:lineRule="exact"/>
        <w:rPr>
          <w:rFonts w:ascii="仿宋" w:hAnsi="仿宋" w:eastAsia="仿宋"/>
          <w:sz w:val="28"/>
          <w:szCs w:val="28"/>
        </w:rPr>
      </w:pPr>
      <w:r>
        <w:rPr>
          <w:rFonts w:hint="eastAsia" w:ascii="仿宋" w:hAnsi="仿宋" w:eastAsia="仿宋"/>
          <w:sz w:val="28"/>
          <w:szCs w:val="28"/>
        </w:rPr>
        <w:t>（甲方）沙盘制作采购项目中所需安装工程经采购小组评定（乙方）为成交供应商。甲、乙双方同意按照下面的条款和条件，签署本合同。</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一、沙盘制作安装范围和内容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1.本次沙盘制作采购内容为沙盘底座、底盘、表面建筑模型、灯光、道路、水景等。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2.安装数量：1套</w:t>
      </w:r>
    </w:p>
    <w:p>
      <w:pPr>
        <w:spacing w:line="360" w:lineRule="auto"/>
        <w:ind w:firstLine="420" w:firstLineChars="150"/>
        <w:rPr>
          <w:rFonts w:ascii="仿宋" w:hAnsi="仿宋" w:eastAsia="仿宋"/>
          <w:sz w:val="28"/>
          <w:szCs w:val="28"/>
        </w:rPr>
      </w:pPr>
      <w:r>
        <w:rPr>
          <w:rFonts w:hint="eastAsia" w:ascii="仿宋" w:hAnsi="仿宋" w:eastAsia="仿宋"/>
          <w:sz w:val="28"/>
          <w:szCs w:val="28"/>
        </w:rPr>
        <w:t xml:space="preserve"> 3.安装地点：</w:t>
      </w:r>
      <w:r>
        <w:rPr>
          <w:rFonts w:hint="eastAsia" w:ascii="仿宋" w:hAnsi="仿宋" w:eastAsia="仿宋"/>
          <w:color w:val="FF0000"/>
          <w:sz w:val="28"/>
          <w:szCs w:val="28"/>
        </w:rPr>
        <w:t>依据甲方要求安装，需提供移动和展示服务。</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二、项目费用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本合同总价  万元，报价包括但不限于沙盘人工、材料、机械设备、安装、资料、人员差旅、运输、食宿、工具、管理费、增值税税金（专票）等一切费用。</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三、项目工期及付款方式</w:t>
      </w:r>
    </w:p>
    <w:p>
      <w:pPr>
        <w:spacing w:line="520" w:lineRule="exact"/>
        <w:ind w:firstLine="560" w:firstLineChars="200"/>
        <w:rPr>
          <w:rFonts w:ascii="宋体" w:hAnsi="宋体"/>
          <w:color w:val="FF0000"/>
          <w:sz w:val="24"/>
          <w:szCs w:val="24"/>
        </w:rPr>
      </w:pPr>
      <w:r>
        <w:rPr>
          <w:rFonts w:hint="eastAsia" w:ascii="仿宋" w:hAnsi="仿宋" w:eastAsia="仿宋"/>
          <w:sz w:val="28"/>
          <w:szCs w:val="28"/>
        </w:rPr>
        <w:t>1.合同工期：合同签订后</w:t>
      </w:r>
      <w:r>
        <w:rPr>
          <w:rFonts w:hint="eastAsia" w:ascii="仿宋" w:hAnsi="仿宋" w:eastAsia="仿宋"/>
          <w:color w:val="FF0000"/>
          <w:sz w:val="28"/>
          <w:szCs w:val="28"/>
        </w:rPr>
        <w:t>30</w:t>
      </w:r>
      <w:r>
        <w:rPr>
          <w:rFonts w:hint="eastAsia" w:ascii="仿宋" w:hAnsi="仿宋" w:eastAsia="仿宋"/>
          <w:sz w:val="28"/>
          <w:szCs w:val="28"/>
        </w:rPr>
        <w:t>个自然天内制作完成全部工作，具体到货安装时间以甲方通知时间为准，安装时间须在24小时内完成。</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2.付款方式：全部沙盘模型安装完成后，提交验收报告并经甲方确认后25个</w:t>
      </w:r>
      <w:r>
        <w:rPr>
          <w:rFonts w:hint="eastAsia" w:ascii="仿宋" w:hAnsi="仿宋" w:eastAsia="仿宋"/>
          <w:sz w:val="28"/>
          <w:szCs w:val="28"/>
          <w:highlight w:val="yellow"/>
        </w:rPr>
        <w:t>工作日内付至合同金额的90%；质保期1年，</w:t>
      </w:r>
      <w:r>
        <w:rPr>
          <w:rFonts w:hint="eastAsia" w:ascii="仿宋" w:hAnsi="仿宋" w:eastAsia="仿宋"/>
          <w:sz w:val="28"/>
          <w:szCs w:val="28"/>
        </w:rPr>
        <w:t>质保期结束25个工作日内付清剩余全部费用。每次付款前，乙方必须提供税务部门开具的正式发票。</w:t>
      </w:r>
    </w:p>
    <w:p>
      <w:pPr>
        <w:spacing w:line="520" w:lineRule="exact"/>
        <w:ind w:firstLine="562" w:firstLineChars="200"/>
        <w:rPr>
          <w:rFonts w:ascii="黑体" w:hAnsi="黑体" w:eastAsia="黑体"/>
          <w:b/>
          <w:sz w:val="28"/>
          <w:szCs w:val="28"/>
        </w:rPr>
      </w:pPr>
      <w:r>
        <w:rPr>
          <w:rFonts w:hint="eastAsia" w:ascii="黑体" w:hAnsi="黑体" w:eastAsia="黑体"/>
          <w:b/>
          <w:sz w:val="28"/>
          <w:szCs w:val="28"/>
        </w:rPr>
        <w:t>四、质量标准</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1.符合现行国家或行业标准。</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2.需满足与甲方要求。</w:t>
      </w:r>
    </w:p>
    <w:p>
      <w:pPr>
        <w:spacing w:line="520" w:lineRule="exact"/>
        <w:ind w:firstLine="560" w:firstLineChars="200"/>
        <w:rPr>
          <w:rFonts w:ascii="仿宋" w:hAnsi="仿宋" w:eastAsia="仿宋"/>
          <w:color w:val="FF0000"/>
          <w:sz w:val="28"/>
          <w:szCs w:val="28"/>
        </w:rPr>
      </w:pPr>
      <w:r>
        <w:rPr>
          <w:rFonts w:hint="eastAsia" w:ascii="仿宋" w:hAnsi="仿宋" w:eastAsia="仿宋"/>
          <w:color w:val="FF0000"/>
          <w:sz w:val="28"/>
          <w:szCs w:val="28"/>
        </w:rPr>
        <w:t>3.质保期期间满足甲方安装需求。</w:t>
      </w:r>
    </w:p>
    <w:p>
      <w:pPr>
        <w:spacing w:line="520" w:lineRule="exact"/>
        <w:ind w:firstLine="562" w:firstLineChars="200"/>
        <w:rPr>
          <w:rFonts w:ascii="黑体" w:hAnsi="黑体" w:eastAsia="黑体"/>
          <w:b/>
          <w:sz w:val="28"/>
          <w:szCs w:val="28"/>
        </w:rPr>
      </w:pPr>
      <w:r>
        <w:rPr>
          <w:rFonts w:hint="eastAsia" w:ascii="黑体" w:hAnsi="黑体" w:eastAsia="黑体"/>
          <w:b/>
          <w:sz w:val="28"/>
          <w:szCs w:val="28"/>
        </w:rPr>
        <w:t>五、甲乙双方权利和义务</w:t>
      </w:r>
    </w:p>
    <w:p>
      <w:pPr>
        <w:spacing w:line="520" w:lineRule="exact"/>
        <w:ind w:firstLine="562" w:firstLineChars="200"/>
        <w:rPr>
          <w:rFonts w:ascii="仿宋" w:hAnsi="仿宋" w:eastAsia="仿宋"/>
          <w:b/>
          <w:sz w:val="28"/>
          <w:szCs w:val="28"/>
        </w:rPr>
      </w:pPr>
      <w:r>
        <w:rPr>
          <w:rFonts w:hint="eastAsia" w:ascii="仿宋" w:hAnsi="仿宋" w:eastAsia="仿宋"/>
          <w:b/>
          <w:sz w:val="28"/>
          <w:szCs w:val="28"/>
        </w:rPr>
        <w:t>（一）甲方的权利和义务</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1.甲方应提供乙方为完成工作所需的有关图纸和资料。</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2.甲方应指定技术负责人,技术负责人应负责现场的对接工作,协调工作进度；对项目的安装质量进行监督、检查。</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3.甲方应提供乙方人员进入现场区域工作的必要条件。</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4.如甲方在安装过程中发现乙方的安装质量达不到现行国家或行业标准，甲方有权解除与乙方签订的合同。</w:t>
      </w:r>
    </w:p>
    <w:p>
      <w:pPr>
        <w:spacing w:line="520" w:lineRule="exact"/>
        <w:ind w:firstLine="562" w:firstLineChars="200"/>
        <w:rPr>
          <w:rFonts w:ascii="仿宋" w:hAnsi="仿宋" w:eastAsia="仿宋"/>
          <w:b/>
          <w:sz w:val="28"/>
          <w:szCs w:val="28"/>
        </w:rPr>
      </w:pPr>
      <w:r>
        <w:rPr>
          <w:rFonts w:hint="eastAsia" w:ascii="仿宋" w:hAnsi="仿宋" w:eastAsia="仿宋"/>
          <w:b/>
          <w:sz w:val="28"/>
          <w:szCs w:val="28"/>
        </w:rPr>
        <w:t>（二）乙方的权利和义务</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1.乙方应遵从合同条款的规定，细心认真地在规定时间内完成全部安装工作。</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2.由于乙方安装人员的工作失误给甲方或第三者造成直接财产损失由乙方负责。</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3.乙方的安装工作应服从甲方的安排。</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4.遵守安全操作规程的规定，遵守甲方有关安全要求。</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5.本着科学、公正、真实的精神做好安装工作，并保证其安装结论真实、可靠、有效。</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6.在完成安装并全部确认合格后3个工作日内申请验收。</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7.在质保期内有需要时需派人清理维护及线路检查。</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8.在质保期内，沙盘维修须在24小时内响应并到场。</w:t>
      </w:r>
    </w:p>
    <w:p>
      <w:pPr>
        <w:pStyle w:val="2"/>
        <w:ind w:left="0" w:leftChars="0" w:firstLine="0" w:firstLineChars="0"/>
      </w:pPr>
    </w:p>
    <w:p>
      <w:pPr>
        <w:spacing w:line="520" w:lineRule="exact"/>
        <w:ind w:firstLine="562" w:firstLineChars="200"/>
        <w:rPr>
          <w:rFonts w:ascii="黑体" w:hAnsi="黑体" w:eastAsia="黑体"/>
          <w:sz w:val="28"/>
          <w:szCs w:val="28"/>
        </w:rPr>
      </w:pPr>
      <w:r>
        <w:rPr>
          <w:rFonts w:hint="eastAsia" w:ascii="黑体" w:hAnsi="黑体" w:eastAsia="黑体"/>
          <w:b/>
          <w:sz w:val="28"/>
          <w:szCs w:val="28"/>
        </w:rPr>
        <w:t>六、安全协定</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1.乙方保证不使用未成年工和不适应现场工作要求的老、弱、病、残人员进行安装工作，安装人员须持有效证件上岗。</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2.乙方不得将本合同工作内容进行转包。</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3.乙方应告诫所属人员不得擅自进入与本项工作无关的场所。</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4.违反上述任一条款引起不良后果的，由责任方负全责，并承担所有经济损失。双方均有违反的，按职责相应承担责任。</w:t>
      </w:r>
    </w:p>
    <w:p>
      <w:pPr>
        <w:spacing w:line="520" w:lineRule="exact"/>
        <w:ind w:firstLine="562" w:firstLineChars="200"/>
        <w:rPr>
          <w:rFonts w:ascii="黑体" w:hAnsi="黑体" w:eastAsia="黑体"/>
          <w:b/>
          <w:sz w:val="28"/>
          <w:szCs w:val="28"/>
        </w:rPr>
      </w:pPr>
      <w:r>
        <w:rPr>
          <w:rFonts w:hint="eastAsia" w:ascii="黑体" w:hAnsi="黑体" w:eastAsia="黑体"/>
          <w:b/>
          <w:sz w:val="28"/>
          <w:szCs w:val="28"/>
        </w:rPr>
        <w:t>七、违约条款</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1.乙方在合同履行期间自行终止协议，乙方须支付合同价款的违约金给甲方，且承担一切经济损失及法律责任。</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2.乙方现场安装期间，发生重大安全责任事故、刑事犯罪事故，对甲方及本项目产生恶劣影响的，甲方有权解除合同，乙方承担一切经济损失及法律责任。</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3.乙方工期每逾期一天须支付每天的拖期损失费，按该总价款的计算违约金给甲方，超过天甲方有权取消合同并向乙方提出赔偿。</w:t>
      </w:r>
    </w:p>
    <w:p>
      <w:pPr>
        <w:pStyle w:val="2"/>
        <w:ind w:left="0" w:leftChars="0" w:firstLine="0" w:firstLineChars="0"/>
        <w:rPr>
          <w:rFonts w:eastAsia="仿宋"/>
        </w:rPr>
      </w:pPr>
    </w:p>
    <w:p>
      <w:pPr>
        <w:pStyle w:val="2"/>
      </w:pPr>
    </w:p>
    <w:p>
      <w:pPr>
        <w:spacing w:line="520" w:lineRule="exact"/>
        <w:ind w:firstLine="562" w:firstLineChars="200"/>
        <w:rPr>
          <w:rFonts w:ascii="黑体" w:hAnsi="黑体" w:eastAsia="黑体"/>
          <w:b/>
          <w:sz w:val="28"/>
          <w:szCs w:val="28"/>
        </w:rPr>
      </w:pPr>
      <w:r>
        <w:rPr>
          <w:rFonts w:hint="eastAsia" w:ascii="黑体" w:hAnsi="黑体" w:eastAsia="黑体"/>
          <w:b/>
          <w:sz w:val="28"/>
          <w:szCs w:val="28"/>
        </w:rPr>
        <w:t>八、争议解决</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1.本合同执行过程中，如发生争议或经济纠纷，由双方按《合同法》协商解决，协商不成时，可提交工程所在地人民法院起诉。</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2.甲乙双方对合同条款有争议且争议未解决前，合同其余条款应继续执行。在任何情况下均不能影响甲方的正常工作。</w:t>
      </w:r>
    </w:p>
    <w:p>
      <w:pPr>
        <w:spacing w:line="520" w:lineRule="exact"/>
        <w:ind w:firstLine="562" w:firstLineChars="200"/>
        <w:rPr>
          <w:rFonts w:ascii="黑体" w:hAnsi="黑体" w:eastAsia="黑体"/>
          <w:sz w:val="28"/>
          <w:szCs w:val="28"/>
        </w:rPr>
      </w:pPr>
      <w:r>
        <w:rPr>
          <w:rFonts w:hint="eastAsia" w:ascii="黑体" w:hAnsi="黑体" w:eastAsia="黑体"/>
          <w:b/>
          <w:sz w:val="28"/>
          <w:szCs w:val="28"/>
        </w:rPr>
        <w:t>九、不可抗力</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 xml:space="preserve"> 1.任何一方如遇不可抗力而无法履行合同的，应及时书面通知对方，并在不可抗力事件发生后个工作日内，向对方提交不能履行合同或者部分不能履行合同以及需要延期履行合同的证据材料。</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2.所出具的不可抗力的证据应当是法定部门做出的，不可抗力的范围以法律规定为准。</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3.一方发生不可抗力而不能全部或者部分履行合同的，不认为是违约，但该方应积极采取必要的措施，尽力减少不可抗力造成的损失。</w:t>
      </w:r>
    </w:p>
    <w:p>
      <w:pPr>
        <w:spacing w:line="520" w:lineRule="exact"/>
        <w:ind w:firstLine="562" w:firstLineChars="200"/>
        <w:rPr>
          <w:rFonts w:ascii="黑体" w:hAnsi="黑体" w:eastAsia="黑体"/>
          <w:b/>
          <w:sz w:val="28"/>
          <w:szCs w:val="28"/>
        </w:rPr>
      </w:pPr>
      <w:r>
        <w:rPr>
          <w:rFonts w:hint="eastAsia" w:ascii="黑体" w:hAnsi="黑体" w:eastAsia="黑体"/>
          <w:b/>
          <w:sz w:val="28"/>
          <w:szCs w:val="28"/>
        </w:rPr>
        <w:t>十、其它</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1.本合同未尽事宜双方应及时协商解决，并签订书面补充协议。补充协议经合同双方签字盖章后生效。生效后的书面补充协议是本合同的补充，与本合同具有同等法律效力。</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2.本合同自双方签字盖章之日起生效。</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highlight w:val="yellow"/>
        </w:rPr>
        <w:t>.本合同一式陆份，甲方持肆份，乙方持贰份。</w:t>
      </w:r>
    </w:p>
    <w:p>
      <w:pPr>
        <w:spacing w:line="520" w:lineRule="exact"/>
        <w:ind w:firstLine="562" w:firstLineChars="200"/>
        <w:rPr>
          <w:rFonts w:ascii="黑体" w:hAnsi="黑体" w:eastAsia="黑体"/>
          <w:b/>
          <w:sz w:val="28"/>
          <w:szCs w:val="28"/>
        </w:rPr>
      </w:pPr>
      <w:r>
        <w:rPr>
          <w:rFonts w:hint="eastAsia" w:ascii="黑体" w:hAnsi="黑体" w:eastAsia="黑体"/>
          <w:b/>
          <w:sz w:val="28"/>
          <w:szCs w:val="28"/>
        </w:rPr>
        <w:t>十一、附件</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附件一：总体规划图；</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附件二：廉洁协议书；</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附件三：安全管理协议书。</w:t>
      </w:r>
    </w:p>
    <w:p>
      <w:pPr>
        <w:pStyle w:val="2"/>
        <w:ind w:left="0" w:leftChars="0" w:firstLine="0" w:firstLineChars="0"/>
      </w:pPr>
    </w:p>
    <w:p>
      <w:pPr>
        <w:pStyle w:val="2"/>
      </w:pPr>
    </w:p>
    <w:p>
      <w:pPr>
        <w:spacing w:line="380" w:lineRule="exact"/>
        <w:rPr>
          <w:rFonts w:ascii="宋体" w:hAnsi="宋体"/>
          <w:sz w:val="24"/>
          <w:szCs w:val="24"/>
        </w:rPr>
      </w:pPr>
    </w:p>
    <w:tbl>
      <w:tblPr>
        <w:tblStyle w:val="16"/>
        <w:tblW w:w="9455" w:type="dxa"/>
        <w:tblInd w:w="0" w:type="dxa"/>
        <w:tblLayout w:type="fixed"/>
        <w:tblCellMar>
          <w:top w:w="0" w:type="dxa"/>
          <w:left w:w="108" w:type="dxa"/>
          <w:bottom w:w="0" w:type="dxa"/>
          <w:right w:w="108" w:type="dxa"/>
        </w:tblCellMar>
      </w:tblPr>
      <w:tblGrid>
        <w:gridCol w:w="4500"/>
        <w:gridCol w:w="4955"/>
      </w:tblGrid>
      <w:tr>
        <w:tblPrEx>
          <w:tblCellMar>
            <w:top w:w="0" w:type="dxa"/>
            <w:left w:w="108" w:type="dxa"/>
            <w:bottom w:w="0" w:type="dxa"/>
            <w:right w:w="108" w:type="dxa"/>
          </w:tblCellMar>
        </w:tblPrEx>
        <w:trPr>
          <w:trHeight w:val="3120" w:hRule="atLeast"/>
        </w:trPr>
        <w:tc>
          <w:tcPr>
            <w:tcW w:w="4500" w:type="dxa"/>
            <w:noWrap/>
          </w:tcPr>
          <w:p>
            <w:pPr>
              <w:spacing w:before="156" w:line="320" w:lineRule="exact"/>
              <w:jc w:val="left"/>
              <w:rPr>
                <w:rFonts w:ascii="仿宋" w:hAnsi="仿宋" w:eastAsia="仿宋"/>
              </w:rPr>
            </w:pPr>
          </w:p>
          <w:p>
            <w:pPr>
              <w:spacing w:line="320" w:lineRule="exact"/>
              <w:jc w:val="left"/>
              <w:rPr>
                <w:rFonts w:ascii="仿宋" w:hAnsi="仿宋" w:eastAsia="仿宋"/>
                <w:sz w:val="24"/>
              </w:rPr>
            </w:pPr>
            <w:r>
              <w:rPr>
                <w:rFonts w:hint="eastAsia" w:ascii="仿宋" w:hAnsi="仿宋" w:eastAsia="仿宋"/>
                <w:sz w:val="24"/>
              </w:rPr>
              <w:t>甲  方：                 （盖章）</w:t>
            </w:r>
          </w:p>
          <w:p>
            <w:pPr>
              <w:spacing w:before="312" w:line="400" w:lineRule="exact"/>
              <w:jc w:val="left"/>
              <w:rPr>
                <w:rFonts w:ascii="仿宋" w:hAnsi="仿宋" w:eastAsia="仿宋"/>
                <w:sz w:val="24"/>
              </w:rPr>
            </w:pPr>
            <w:r>
              <w:rPr>
                <w:rFonts w:hint="eastAsia" w:ascii="仿宋" w:hAnsi="仿宋" w:eastAsia="仿宋"/>
                <w:sz w:val="24"/>
              </w:rPr>
              <w:t>法定代表人：</w:t>
            </w:r>
          </w:p>
          <w:p>
            <w:pPr>
              <w:spacing w:line="400" w:lineRule="exact"/>
              <w:jc w:val="left"/>
              <w:rPr>
                <w:rFonts w:ascii="仿宋" w:hAnsi="仿宋" w:eastAsia="仿宋"/>
                <w:sz w:val="24"/>
              </w:rPr>
            </w:pPr>
            <w:r>
              <w:rPr>
                <w:rFonts w:hint="eastAsia" w:ascii="仿宋" w:hAnsi="仿宋" w:eastAsia="仿宋"/>
                <w:sz w:val="24"/>
              </w:rPr>
              <w:t>或其</w:t>
            </w:r>
          </w:p>
          <w:p>
            <w:pPr>
              <w:spacing w:line="400" w:lineRule="exact"/>
              <w:jc w:val="left"/>
              <w:rPr>
                <w:rFonts w:ascii="仿宋" w:hAnsi="仿宋" w:eastAsia="仿宋"/>
                <w:sz w:val="24"/>
              </w:rPr>
            </w:pPr>
            <w:r>
              <w:rPr>
                <w:rFonts w:hint="eastAsia" w:ascii="仿宋" w:hAnsi="仿宋" w:eastAsia="仿宋"/>
                <w:sz w:val="24"/>
              </w:rPr>
              <w:t>委托代理人：</w:t>
            </w:r>
          </w:p>
          <w:p>
            <w:pPr>
              <w:spacing w:before="156" w:line="400" w:lineRule="exact"/>
              <w:jc w:val="left"/>
              <w:rPr>
                <w:rFonts w:ascii="仿宋" w:hAnsi="仿宋" w:eastAsia="仿宋"/>
                <w:sz w:val="24"/>
              </w:rPr>
            </w:pPr>
            <w:r>
              <w:rPr>
                <w:rFonts w:hint="eastAsia" w:ascii="仿宋" w:hAnsi="仿宋" w:eastAsia="仿宋"/>
                <w:sz w:val="24"/>
              </w:rPr>
              <w:t>地  址：</w:t>
            </w:r>
          </w:p>
          <w:p>
            <w:pPr>
              <w:spacing w:before="156" w:line="400" w:lineRule="exact"/>
              <w:jc w:val="left"/>
              <w:rPr>
                <w:rFonts w:ascii="仿宋" w:hAnsi="仿宋" w:eastAsia="仿宋"/>
                <w:sz w:val="24"/>
                <w:u w:val="single"/>
              </w:rPr>
            </w:pPr>
            <w:r>
              <w:rPr>
                <w:rFonts w:hint="eastAsia" w:ascii="仿宋" w:hAnsi="仿宋" w:eastAsia="仿宋"/>
                <w:sz w:val="24"/>
              </w:rPr>
              <w:t>电  话：</w:t>
            </w:r>
          </w:p>
          <w:p>
            <w:pPr>
              <w:spacing w:before="156" w:line="400" w:lineRule="exact"/>
              <w:jc w:val="left"/>
              <w:rPr>
                <w:rFonts w:ascii="仿宋" w:hAnsi="仿宋" w:eastAsia="仿宋"/>
                <w:sz w:val="24"/>
              </w:rPr>
            </w:pPr>
            <w:r>
              <w:rPr>
                <w:rFonts w:hint="eastAsia" w:ascii="仿宋" w:hAnsi="仿宋" w:eastAsia="仿宋"/>
                <w:sz w:val="24"/>
              </w:rPr>
              <w:t>邮  编：</w:t>
            </w:r>
          </w:p>
          <w:p>
            <w:pPr>
              <w:spacing w:before="156" w:line="400" w:lineRule="exact"/>
              <w:jc w:val="left"/>
              <w:rPr>
                <w:rFonts w:ascii="仿宋" w:hAnsi="仿宋" w:eastAsia="仿宋"/>
                <w:sz w:val="24"/>
              </w:rPr>
            </w:pPr>
            <w:r>
              <w:rPr>
                <w:rFonts w:hint="eastAsia" w:ascii="仿宋" w:hAnsi="仿宋" w:eastAsia="仿宋"/>
                <w:sz w:val="24"/>
              </w:rPr>
              <w:t>开户行：</w:t>
            </w:r>
          </w:p>
          <w:p>
            <w:pPr>
              <w:spacing w:before="156" w:line="400" w:lineRule="exact"/>
              <w:jc w:val="left"/>
              <w:rPr>
                <w:rFonts w:ascii="仿宋" w:hAnsi="仿宋" w:eastAsia="仿宋"/>
                <w:sz w:val="24"/>
              </w:rPr>
            </w:pPr>
            <w:r>
              <w:rPr>
                <w:rFonts w:hint="eastAsia" w:ascii="仿宋" w:hAnsi="仿宋" w:eastAsia="仿宋"/>
                <w:sz w:val="24"/>
              </w:rPr>
              <w:t>账  号：</w:t>
            </w:r>
          </w:p>
          <w:p>
            <w:pPr>
              <w:spacing w:before="156" w:line="400" w:lineRule="exact"/>
              <w:jc w:val="left"/>
              <w:rPr>
                <w:rFonts w:ascii="仿宋" w:hAnsi="仿宋" w:eastAsia="仿宋"/>
                <w:sz w:val="24"/>
              </w:rPr>
            </w:pPr>
            <w:r>
              <w:rPr>
                <w:rFonts w:hint="eastAsia" w:ascii="仿宋" w:hAnsi="仿宋" w:eastAsia="仿宋"/>
                <w:sz w:val="24"/>
              </w:rPr>
              <w:t>日  期：    年  月  日</w:t>
            </w:r>
          </w:p>
        </w:tc>
        <w:tc>
          <w:tcPr>
            <w:tcW w:w="4955" w:type="dxa"/>
            <w:noWrap/>
          </w:tcPr>
          <w:p>
            <w:pPr>
              <w:spacing w:line="400" w:lineRule="exact"/>
              <w:ind w:left="720" w:hanging="720"/>
              <w:jc w:val="left"/>
              <w:rPr>
                <w:rFonts w:ascii="仿宋" w:hAnsi="仿宋" w:eastAsia="仿宋"/>
                <w:sz w:val="24"/>
              </w:rPr>
            </w:pPr>
          </w:p>
          <w:p>
            <w:pPr>
              <w:spacing w:line="400" w:lineRule="exact"/>
              <w:ind w:left="718" w:leftChars="342"/>
              <w:jc w:val="left"/>
              <w:rPr>
                <w:rFonts w:ascii="仿宋" w:hAnsi="仿宋" w:eastAsia="仿宋"/>
                <w:sz w:val="24"/>
              </w:rPr>
            </w:pPr>
            <w:r>
              <w:rPr>
                <w:rFonts w:hint="eastAsia" w:ascii="仿宋" w:hAnsi="仿宋" w:eastAsia="仿宋"/>
                <w:sz w:val="24"/>
              </w:rPr>
              <w:t>乙  方：                    （盖章）</w:t>
            </w:r>
          </w:p>
          <w:p>
            <w:pPr>
              <w:spacing w:before="312" w:line="400" w:lineRule="exact"/>
              <w:ind w:firstLine="720" w:firstLineChars="300"/>
              <w:jc w:val="left"/>
              <w:rPr>
                <w:rFonts w:ascii="仿宋" w:hAnsi="仿宋" w:eastAsia="仿宋"/>
                <w:sz w:val="24"/>
              </w:rPr>
            </w:pPr>
            <w:r>
              <w:rPr>
                <w:rFonts w:hint="eastAsia" w:ascii="仿宋" w:hAnsi="仿宋" w:eastAsia="仿宋"/>
                <w:sz w:val="24"/>
              </w:rPr>
              <w:t>法定代表人：</w:t>
            </w:r>
          </w:p>
          <w:p>
            <w:pPr>
              <w:spacing w:line="400" w:lineRule="exact"/>
              <w:ind w:firstLine="720" w:firstLineChars="300"/>
              <w:jc w:val="left"/>
              <w:rPr>
                <w:rFonts w:ascii="仿宋" w:hAnsi="仿宋" w:eastAsia="仿宋"/>
                <w:sz w:val="24"/>
              </w:rPr>
            </w:pPr>
            <w:r>
              <w:rPr>
                <w:rFonts w:hint="eastAsia" w:ascii="仿宋" w:hAnsi="仿宋" w:eastAsia="仿宋"/>
                <w:sz w:val="24"/>
              </w:rPr>
              <w:t xml:space="preserve">或其 </w:t>
            </w:r>
          </w:p>
          <w:p>
            <w:pPr>
              <w:spacing w:line="400" w:lineRule="exact"/>
              <w:ind w:firstLine="720" w:firstLineChars="300"/>
              <w:jc w:val="left"/>
              <w:rPr>
                <w:rFonts w:ascii="仿宋" w:hAnsi="仿宋" w:eastAsia="仿宋"/>
                <w:sz w:val="24"/>
              </w:rPr>
            </w:pPr>
            <w:r>
              <w:rPr>
                <w:rFonts w:hint="eastAsia" w:ascii="仿宋" w:hAnsi="仿宋" w:eastAsia="仿宋"/>
                <w:sz w:val="24"/>
              </w:rPr>
              <w:t>委托代理人：</w:t>
            </w:r>
          </w:p>
          <w:p>
            <w:pPr>
              <w:spacing w:before="156" w:line="400" w:lineRule="exact"/>
              <w:ind w:firstLine="720" w:firstLineChars="300"/>
              <w:jc w:val="left"/>
              <w:rPr>
                <w:rFonts w:ascii="仿宋" w:hAnsi="仿宋" w:eastAsia="仿宋"/>
                <w:sz w:val="24"/>
              </w:rPr>
            </w:pPr>
            <w:r>
              <w:rPr>
                <w:rFonts w:hint="eastAsia" w:ascii="仿宋" w:hAnsi="仿宋" w:eastAsia="仿宋"/>
                <w:sz w:val="24"/>
              </w:rPr>
              <w:t>地  址：</w:t>
            </w:r>
          </w:p>
          <w:p>
            <w:pPr>
              <w:spacing w:before="156" w:line="400" w:lineRule="exact"/>
              <w:ind w:firstLine="720" w:firstLineChars="300"/>
              <w:jc w:val="left"/>
              <w:rPr>
                <w:rFonts w:ascii="仿宋" w:hAnsi="仿宋" w:eastAsia="仿宋"/>
                <w:sz w:val="24"/>
                <w:u w:val="single"/>
              </w:rPr>
            </w:pPr>
            <w:r>
              <w:rPr>
                <w:rFonts w:hint="eastAsia" w:ascii="仿宋" w:hAnsi="仿宋" w:eastAsia="仿宋"/>
                <w:sz w:val="24"/>
              </w:rPr>
              <w:t>电  话：</w:t>
            </w:r>
          </w:p>
          <w:p>
            <w:pPr>
              <w:spacing w:before="156" w:line="400" w:lineRule="exact"/>
              <w:ind w:firstLine="720" w:firstLineChars="300"/>
              <w:jc w:val="left"/>
              <w:rPr>
                <w:rFonts w:ascii="仿宋" w:hAnsi="仿宋" w:eastAsia="仿宋"/>
                <w:i/>
                <w:sz w:val="24"/>
              </w:rPr>
            </w:pPr>
            <w:r>
              <w:rPr>
                <w:rFonts w:hint="eastAsia" w:ascii="仿宋" w:hAnsi="仿宋" w:eastAsia="仿宋"/>
                <w:sz w:val="24"/>
              </w:rPr>
              <w:t>邮  编：</w:t>
            </w:r>
          </w:p>
          <w:p>
            <w:pPr>
              <w:spacing w:before="156" w:line="400" w:lineRule="exact"/>
              <w:ind w:firstLine="720" w:firstLineChars="300"/>
              <w:jc w:val="left"/>
              <w:rPr>
                <w:rFonts w:ascii="仿宋" w:hAnsi="仿宋" w:eastAsia="仿宋"/>
                <w:sz w:val="24"/>
              </w:rPr>
            </w:pPr>
            <w:r>
              <w:rPr>
                <w:rFonts w:hint="eastAsia" w:ascii="仿宋" w:hAnsi="仿宋" w:eastAsia="仿宋"/>
                <w:sz w:val="24"/>
              </w:rPr>
              <w:t>开户行：</w:t>
            </w:r>
          </w:p>
          <w:p>
            <w:pPr>
              <w:spacing w:before="156" w:line="400" w:lineRule="exact"/>
              <w:ind w:firstLine="720" w:firstLineChars="300"/>
              <w:jc w:val="left"/>
              <w:rPr>
                <w:rFonts w:ascii="仿宋" w:hAnsi="仿宋" w:eastAsia="仿宋"/>
                <w:sz w:val="24"/>
              </w:rPr>
            </w:pPr>
            <w:r>
              <w:rPr>
                <w:rFonts w:hint="eastAsia" w:ascii="仿宋" w:hAnsi="仿宋" w:eastAsia="仿宋"/>
                <w:sz w:val="24"/>
              </w:rPr>
              <w:t>账  号：</w:t>
            </w:r>
          </w:p>
          <w:p>
            <w:pPr>
              <w:spacing w:before="156" w:line="400" w:lineRule="exact"/>
              <w:ind w:firstLine="720" w:firstLineChars="300"/>
              <w:jc w:val="left"/>
              <w:rPr>
                <w:rFonts w:ascii="仿宋" w:hAnsi="仿宋" w:eastAsia="仿宋"/>
                <w:sz w:val="24"/>
              </w:rPr>
            </w:pPr>
            <w:r>
              <w:rPr>
                <w:rFonts w:hint="eastAsia" w:ascii="仿宋" w:hAnsi="仿宋" w:eastAsia="仿宋"/>
                <w:sz w:val="24"/>
              </w:rPr>
              <w:t>日  期：  年 月  日</w:t>
            </w:r>
          </w:p>
        </w:tc>
      </w:tr>
    </w:tbl>
    <w:p>
      <w:pPr>
        <w:spacing w:line="360" w:lineRule="auto"/>
        <w:rPr>
          <w:rFonts w:ascii="宋体"/>
          <w:sz w:val="28"/>
        </w:rPr>
      </w:pPr>
    </w:p>
    <w:p>
      <w:pPr>
        <w:pStyle w:val="2"/>
      </w:pPr>
    </w:p>
    <w:p>
      <w:pPr>
        <w:pStyle w:val="2"/>
      </w:pPr>
    </w:p>
    <w:p>
      <w:pPr>
        <w:pStyle w:val="2"/>
      </w:pPr>
    </w:p>
    <w:p>
      <w:pPr>
        <w:pStyle w:val="2"/>
      </w:pPr>
    </w:p>
    <w:p>
      <w:pPr>
        <w:pStyle w:val="2"/>
      </w:pPr>
    </w:p>
    <w:p>
      <w:pPr>
        <w:pStyle w:val="2"/>
      </w:pPr>
    </w:p>
    <w:p>
      <w:pPr>
        <w:spacing w:line="360" w:lineRule="auto"/>
        <w:jc w:val="center"/>
      </w:pPr>
    </w:p>
    <w:p>
      <w:pPr>
        <w:spacing w:line="360" w:lineRule="auto"/>
        <w:jc w:val="center"/>
        <w:rPr>
          <w:b/>
          <w:sz w:val="36"/>
          <w:szCs w:val="36"/>
        </w:rPr>
      </w:pPr>
      <w:r>
        <w:rPr>
          <w:rFonts w:hint="eastAsia"/>
          <w:b/>
          <w:sz w:val="32"/>
          <w:szCs w:val="32"/>
        </w:rPr>
        <w:t>附件二：廉洁协议书</w:t>
      </w:r>
    </w:p>
    <w:p>
      <w:pPr>
        <w:spacing w:line="500" w:lineRule="exact"/>
        <w:rPr>
          <w:sz w:val="28"/>
          <w:szCs w:val="28"/>
        </w:rPr>
      </w:pPr>
      <w:r>
        <w:rPr>
          <w:rFonts w:hint="eastAsia"/>
          <w:sz w:val="28"/>
          <w:szCs w:val="28"/>
        </w:rPr>
        <w:t>采购人（甲方）：</w:t>
      </w:r>
    </w:p>
    <w:p>
      <w:pPr>
        <w:spacing w:line="500" w:lineRule="exact"/>
        <w:rPr>
          <w:sz w:val="28"/>
          <w:szCs w:val="28"/>
        </w:rPr>
      </w:pPr>
      <w:r>
        <w:rPr>
          <w:rFonts w:hint="eastAsia"/>
          <w:sz w:val="28"/>
          <w:szCs w:val="28"/>
        </w:rPr>
        <w:t>供应商（乙方）：</w:t>
      </w:r>
    </w:p>
    <w:p>
      <w:pPr>
        <w:spacing w:line="500" w:lineRule="exact"/>
        <w:ind w:firstLine="560" w:firstLineChars="200"/>
        <w:rPr>
          <w:sz w:val="28"/>
          <w:szCs w:val="28"/>
        </w:rPr>
      </w:pPr>
      <w:r>
        <w:rPr>
          <w:rFonts w:hint="eastAsia"/>
          <w:sz w:val="28"/>
          <w:szCs w:val="28"/>
        </w:rPr>
        <w:t>为规范甲、乙双方在招投标活动中的行为，保证招投标活动公开、公正，防止违法违纪行为发生，保障双方合法权益，依据国家、公司等相关法律法规，经双方协商，达成以下协议：</w:t>
      </w:r>
    </w:p>
    <w:p>
      <w:pPr>
        <w:spacing w:line="500" w:lineRule="exact"/>
        <w:rPr>
          <w:sz w:val="28"/>
          <w:szCs w:val="28"/>
        </w:rPr>
      </w:pPr>
      <w:bookmarkStart w:id="33" w:name="_Toc382184443"/>
      <w:bookmarkStart w:id="34" w:name="_Toc384220380"/>
      <w:r>
        <w:rPr>
          <w:rFonts w:hint="eastAsia"/>
          <w:sz w:val="28"/>
          <w:szCs w:val="28"/>
        </w:rPr>
        <w:t>第一条  甲方承诺</w:t>
      </w:r>
      <w:bookmarkEnd w:id="33"/>
      <w:bookmarkEnd w:id="34"/>
    </w:p>
    <w:p>
      <w:pPr>
        <w:spacing w:line="500" w:lineRule="exact"/>
        <w:rPr>
          <w:sz w:val="28"/>
          <w:szCs w:val="28"/>
        </w:rPr>
      </w:pPr>
      <w:r>
        <w:rPr>
          <w:rFonts w:hint="eastAsia"/>
          <w:sz w:val="28"/>
          <w:szCs w:val="28"/>
        </w:rPr>
        <w:t>1．1严格遵守《中华人民共和国招标投标法》等招投标法律法规及有关廉政纪律，不得故意刁难乙方；</w:t>
      </w:r>
    </w:p>
    <w:p>
      <w:pPr>
        <w:spacing w:line="500" w:lineRule="exact"/>
        <w:rPr>
          <w:sz w:val="28"/>
          <w:szCs w:val="28"/>
        </w:rPr>
      </w:pPr>
      <w:r>
        <w:rPr>
          <w:rFonts w:hint="eastAsia"/>
          <w:sz w:val="28"/>
          <w:szCs w:val="28"/>
        </w:rPr>
        <w:t>1．2严格遵守相关管理规定；</w:t>
      </w:r>
    </w:p>
    <w:p>
      <w:pPr>
        <w:spacing w:line="500" w:lineRule="exact"/>
        <w:rPr>
          <w:sz w:val="28"/>
          <w:szCs w:val="28"/>
        </w:rPr>
      </w:pPr>
      <w:r>
        <w:rPr>
          <w:rFonts w:hint="eastAsia"/>
          <w:sz w:val="28"/>
          <w:szCs w:val="28"/>
        </w:rPr>
        <w:t>1．3不收受或变相收受乙方任何形式的馈赠（礼品、礼金、有价证券等），或提供的无偿服务；不以任何形式向乙方索要钱物；不在乙方报销应由甲方及其工作人员个人支付的费用；不参加乙方安排的旅游或高消费娱乐活动等；不参加乙方宴请；不要求乙方为甲方工作人员及其亲属经商办企业提供方便；</w:t>
      </w:r>
    </w:p>
    <w:p>
      <w:pPr>
        <w:spacing w:line="500" w:lineRule="exact"/>
        <w:rPr>
          <w:sz w:val="28"/>
          <w:szCs w:val="28"/>
        </w:rPr>
      </w:pPr>
      <w:r>
        <w:rPr>
          <w:rFonts w:hint="eastAsia"/>
          <w:sz w:val="28"/>
          <w:szCs w:val="28"/>
        </w:rPr>
        <w:t>1．4招投标期间不单独约见乙方工作人员；</w:t>
      </w:r>
    </w:p>
    <w:p>
      <w:pPr>
        <w:spacing w:line="500" w:lineRule="exact"/>
        <w:rPr>
          <w:sz w:val="28"/>
          <w:szCs w:val="28"/>
        </w:rPr>
      </w:pPr>
      <w:r>
        <w:rPr>
          <w:rFonts w:hint="eastAsia"/>
          <w:sz w:val="28"/>
          <w:szCs w:val="28"/>
        </w:rPr>
        <w:t>1．5不向乙方及任何其他第三方泄露可能影响公平竞争的招投标情况。</w:t>
      </w:r>
    </w:p>
    <w:p>
      <w:pPr>
        <w:spacing w:line="500" w:lineRule="exact"/>
        <w:rPr>
          <w:sz w:val="28"/>
          <w:szCs w:val="28"/>
        </w:rPr>
      </w:pPr>
      <w:bookmarkStart w:id="35" w:name="_Toc384220381"/>
      <w:bookmarkStart w:id="36" w:name="_Toc382184444"/>
      <w:r>
        <w:rPr>
          <w:rFonts w:hint="eastAsia"/>
          <w:sz w:val="28"/>
          <w:szCs w:val="28"/>
        </w:rPr>
        <w:t>第二条 乙方承诺</w:t>
      </w:r>
      <w:bookmarkEnd w:id="35"/>
      <w:bookmarkEnd w:id="36"/>
    </w:p>
    <w:p>
      <w:pPr>
        <w:spacing w:line="500" w:lineRule="exact"/>
        <w:rPr>
          <w:sz w:val="28"/>
          <w:szCs w:val="28"/>
        </w:rPr>
      </w:pPr>
      <w:r>
        <w:rPr>
          <w:rFonts w:hint="eastAsia"/>
          <w:sz w:val="28"/>
          <w:szCs w:val="28"/>
        </w:rPr>
        <w:t>2．1严格遵守《中华人民共和国招标投标法》等招投标法律法规及有关廉政纪律，不得串标围标损害甲方利益；</w:t>
      </w:r>
    </w:p>
    <w:p>
      <w:pPr>
        <w:spacing w:line="500" w:lineRule="exact"/>
        <w:rPr>
          <w:sz w:val="28"/>
          <w:szCs w:val="28"/>
        </w:rPr>
      </w:pPr>
      <w:r>
        <w:rPr>
          <w:rFonts w:hint="eastAsia"/>
          <w:sz w:val="28"/>
          <w:szCs w:val="28"/>
        </w:rPr>
        <w:t>2．2不向甲方工作人员及其亲属赠送礼品、礼金（礼券）、有价证券等，或提供无偿服务；不报销应由甲方及其工作人员个人支付的费用；不为甲方安排旅游或高消费娱乐活动等；不宴请甲方；不为甲方工作人员及其亲属经商办企业提供方便；</w:t>
      </w:r>
    </w:p>
    <w:p>
      <w:pPr>
        <w:spacing w:line="500" w:lineRule="exact"/>
        <w:rPr>
          <w:sz w:val="28"/>
          <w:szCs w:val="28"/>
        </w:rPr>
      </w:pPr>
      <w:r>
        <w:rPr>
          <w:rFonts w:hint="eastAsia"/>
          <w:sz w:val="28"/>
          <w:szCs w:val="28"/>
        </w:rPr>
        <w:t>2．3招投标期间不单独约见甲方工作人员；不在非办公场所与甲方工作人员商谈业务；</w:t>
      </w:r>
    </w:p>
    <w:p>
      <w:pPr>
        <w:spacing w:line="500" w:lineRule="exact"/>
        <w:rPr>
          <w:sz w:val="28"/>
          <w:szCs w:val="28"/>
        </w:rPr>
      </w:pPr>
      <w:r>
        <w:rPr>
          <w:rFonts w:hint="eastAsia"/>
          <w:sz w:val="28"/>
          <w:szCs w:val="28"/>
        </w:rPr>
        <w:t>2．4不向甲方工作人员电话询问评标情况或施加任何影响；不通过中介公司或其他任何单位、个人向甲方工作人员打招呼，施加压力；</w:t>
      </w:r>
    </w:p>
    <w:p>
      <w:pPr>
        <w:spacing w:line="500" w:lineRule="exact"/>
        <w:rPr>
          <w:sz w:val="28"/>
          <w:szCs w:val="28"/>
        </w:rPr>
      </w:pPr>
      <w:r>
        <w:rPr>
          <w:rFonts w:hint="eastAsia"/>
          <w:sz w:val="28"/>
          <w:szCs w:val="28"/>
        </w:rPr>
        <w:t>2．5编制工程预结算不得弄虚作假、高估冒算。</w:t>
      </w:r>
    </w:p>
    <w:p>
      <w:pPr>
        <w:spacing w:line="500" w:lineRule="exact"/>
        <w:rPr>
          <w:sz w:val="28"/>
          <w:szCs w:val="28"/>
        </w:rPr>
      </w:pPr>
      <w:bookmarkStart w:id="37" w:name="_Toc384220382"/>
      <w:bookmarkStart w:id="38" w:name="_Toc382184445"/>
      <w:r>
        <w:rPr>
          <w:rFonts w:hint="eastAsia"/>
          <w:sz w:val="28"/>
          <w:szCs w:val="28"/>
        </w:rPr>
        <w:t>第三条 监督及责任</w:t>
      </w:r>
      <w:bookmarkEnd w:id="37"/>
      <w:bookmarkEnd w:id="38"/>
    </w:p>
    <w:p>
      <w:pPr>
        <w:spacing w:line="500" w:lineRule="exact"/>
        <w:rPr>
          <w:sz w:val="28"/>
          <w:szCs w:val="28"/>
        </w:rPr>
      </w:pPr>
      <w:r>
        <w:rPr>
          <w:rFonts w:hint="eastAsia"/>
          <w:sz w:val="28"/>
          <w:szCs w:val="28"/>
        </w:rPr>
        <w:t>3．1甲、乙双方自觉接受监督。</w:t>
      </w:r>
    </w:p>
    <w:p>
      <w:pPr>
        <w:spacing w:line="500" w:lineRule="exact"/>
        <w:rPr>
          <w:sz w:val="28"/>
          <w:szCs w:val="28"/>
        </w:rPr>
      </w:pPr>
      <w:r>
        <w:rPr>
          <w:rFonts w:hint="eastAsia"/>
          <w:sz w:val="28"/>
          <w:szCs w:val="28"/>
        </w:rPr>
        <w:t>3．2如发现任何违反本协议的行为，双方有相互提醒、制止、纠正或向甲方纪检监察部门投诉举报的权利与义务。甲方纪检、监察部门将按照规定调查取证，情况属实的将严肃追究有关人员责任，情节严重的移交有关部门处理；</w:t>
      </w:r>
    </w:p>
    <w:p>
      <w:pPr>
        <w:spacing w:line="500" w:lineRule="exact"/>
        <w:rPr>
          <w:sz w:val="28"/>
          <w:szCs w:val="28"/>
        </w:rPr>
      </w:pPr>
      <w:r>
        <w:rPr>
          <w:rFonts w:hint="eastAsia"/>
          <w:sz w:val="28"/>
          <w:szCs w:val="28"/>
        </w:rPr>
        <w:t>3．3甲方纪检、监察部门有权对招投标活动进行监督，有权制止、纠正违反本协议的行为；</w:t>
      </w:r>
    </w:p>
    <w:p>
      <w:pPr>
        <w:spacing w:line="500" w:lineRule="exact"/>
        <w:rPr>
          <w:sz w:val="28"/>
          <w:szCs w:val="28"/>
        </w:rPr>
      </w:pPr>
      <w:r>
        <w:rPr>
          <w:rFonts w:hint="eastAsia"/>
          <w:sz w:val="28"/>
          <w:szCs w:val="28"/>
        </w:rPr>
        <w:t>3．4如乙方违反本协议约定，甲方有权视情节轻重给予处罚，包括取消乙方投标资格、宣布中标无效、停止其参加甲方项目投标资格3年及赔偿相关的经济损失等。</w:t>
      </w:r>
    </w:p>
    <w:p>
      <w:pPr>
        <w:spacing w:line="500" w:lineRule="exact"/>
        <w:rPr>
          <w:sz w:val="28"/>
          <w:szCs w:val="28"/>
        </w:rPr>
      </w:pPr>
      <w:bookmarkStart w:id="39" w:name="_Toc384220383"/>
      <w:bookmarkStart w:id="40" w:name="_Toc382184446"/>
      <w:r>
        <w:rPr>
          <w:rFonts w:hint="eastAsia"/>
          <w:sz w:val="28"/>
          <w:szCs w:val="28"/>
        </w:rPr>
        <w:t>第四条 其他</w:t>
      </w:r>
      <w:bookmarkEnd w:id="39"/>
      <w:bookmarkEnd w:id="40"/>
    </w:p>
    <w:p>
      <w:pPr>
        <w:spacing w:line="500" w:lineRule="exact"/>
        <w:ind w:left="-664" w:leftChars="-316" w:firstLine="560" w:firstLineChars="200"/>
        <w:rPr>
          <w:sz w:val="28"/>
          <w:szCs w:val="28"/>
        </w:rPr>
      </w:pPr>
      <w:r>
        <w:rPr>
          <w:rFonts w:hint="eastAsia"/>
          <w:sz w:val="28"/>
          <w:szCs w:val="28"/>
        </w:rPr>
        <w:t>4．1本协议自双方签字盖章之日起生效；</w:t>
      </w:r>
    </w:p>
    <w:p>
      <w:pPr>
        <w:spacing w:line="500" w:lineRule="exact"/>
        <w:ind w:left="-664" w:leftChars="-316" w:firstLine="560" w:firstLineChars="200"/>
        <w:rPr>
          <w:sz w:val="28"/>
          <w:szCs w:val="28"/>
        </w:rPr>
      </w:pPr>
      <w:r>
        <w:rPr>
          <w:rFonts w:hint="eastAsia"/>
          <w:sz w:val="28"/>
          <w:szCs w:val="28"/>
        </w:rPr>
        <w:t>4．2本协议一式份，双方各执份，具有同等法律效力。</w:t>
      </w:r>
    </w:p>
    <w:p>
      <w:pPr>
        <w:spacing w:line="500" w:lineRule="exact"/>
        <w:ind w:left="-1260" w:leftChars="-600" w:firstLine="1176" w:firstLineChars="420"/>
        <w:rPr>
          <w:sz w:val="28"/>
          <w:szCs w:val="28"/>
        </w:rPr>
      </w:pPr>
    </w:p>
    <w:p>
      <w:pPr>
        <w:spacing w:line="500" w:lineRule="exact"/>
        <w:ind w:left="-1260" w:leftChars="-600" w:firstLine="1176" w:firstLineChars="420"/>
        <w:rPr>
          <w:sz w:val="28"/>
          <w:szCs w:val="28"/>
        </w:rPr>
      </w:pPr>
      <w:r>
        <w:rPr>
          <w:rFonts w:hint="eastAsia"/>
          <w:sz w:val="28"/>
          <w:szCs w:val="28"/>
        </w:rPr>
        <w:t>甲方：                                     乙方：</w:t>
      </w:r>
    </w:p>
    <w:p>
      <w:pPr>
        <w:spacing w:line="500" w:lineRule="exact"/>
        <w:ind w:left="-1260" w:leftChars="-600" w:firstLine="1176" w:firstLineChars="420"/>
        <w:rPr>
          <w:sz w:val="28"/>
          <w:szCs w:val="28"/>
        </w:rPr>
      </w:pPr>
      <w:r>
        <w:rPr>
          <w:rFonts w:hint="eastAsia"/>
          <w:sz w:val="28"/>
          <w:szCs w:val="28"/>
        </w:rPr>
        <w:t>法定代表人：                               法定代表人：</w:t>
      </w:r>
    </w:p>
    <w:p>
      <w:pPr>
        <w:spacing w:line="500" w:lineRule="exact"/>
        <w:ind w:left="-1260" w:leftChars="-600" w:firstLine="1176" w:firstLineChars="420"/>
        <w:rPr>
          <w:sz w:val="28"/>
          <w:szCs w:val="28"/>
        </w:rPr>
      </w:pPr>
      <w:r>
        <w:rPr>
          <w:rFonts w:hint="eastAsia"/>
          <w:sz w:val="28"/>
          <w:szCs w:val="28"/>
        </w:rPr>
        <w:t>或授权代表（签字）：                        或授权代表（签字）：</w:t>
      </w:r>
    </w:p>
    <w:p>
      <w:pPr>
        <w:spacing w:line="500" w:lineRule="exact"/>
        <w:ind w:left="-1260" w:leftChars="-600" w:firstLine="1176" w:firstLineChars="420"/>
        <w:rPr>
          <w:sz w:val="28"/>
          <w:szCs w:val="28"/>
        </w:rPr>
      </w:pPr>
    </w:p>
    <w:p>
      <w:pPr>
        <w:ind w:left="-1260" w:leftChars="-600" w:firstLine="2856" w:firstLineChars="1020"/>
        <w:rPr>
          <w:sz w:val="28"/>
          <w:szCs w:val="28"/>
        </w:rPr>
      </w:pPr>
      <w:r>
        <w:rPr>
          <w:rFonts w:hint="eastAsia"/>
          <w:sz w:val="28"/>
          <w:szCs w:val="28"/>
        </w:rPr>
        <w:t>年   月   日</w:t>
      </w:r>
      <w:r>
        <w:rPr>
          <w:sz w:val="28"/>
          <w:szCs w:val="28"/>
        </w:rPr>
        <w:tab/>
      </w:r>
      <w:r>
        <w:rPr>
          <w:rFonts w:hint="eastAsia"/>
          <w:sz w:val="28"/>
          <w:szCs w:val="28"/>
        </w:rPr>
        <w:t xml:space="preserve">                      年   月   日</w:t>
      </w:r>
    </w:p>
    <w:p>
      <w:pPr>
        <w:spacing w:line="360" w:lineRule="auto"/>
        <w:ind w:firstLine="495" w:firstLineChars="225"/>
        <w:jc w:val="center"/>
        <w:rPr>
          <w:sz w:val="22"/>
          <w:szCs w:val="21"/>
        </w:rPr>
      </w:pPr>
    </w:p>
    <w:p>
      <w:pPr>
        <w:pStyle w:val="10"/>
        <w:spacing w:line="380" w:lineRule="exact"/>
        <w:ind w:left="0" w:firstLine="523" w:firstLineChars="119"/>
        <w:jc w:val="center"/>
        <w:rPr>
          <w:rFonts w:ascii="宋体" w:hAnsi="宋体"/>
          <w:b/>
          <w:bCs/>
          <w:sz w:val="36"/>
          <w:szCs w:val="36"/>
        </w:rPr>
      </w:pPr>
      <w:r>
        <w:rPr>
          <w:rFonts w:hint="eastAsia" w:ascii="宋体" w:hAnsi="宋体" w:cs="宋体"/>
          <w:sz w:val="44"/>
        </w:rPr>
        <w:br w:type="page"/>
      </w:r>
    </w:p>
    <w:p>
      <w:pPr>
        <w:spacing w:line="360" w:lineRule="auto"/>
        <w:jc w:val="center"/>
        <w:outlineLvl w:val="1"/>
        <w:rPr>
          <w:rFonts w:hAnsi="宋体"/>
          <w:b/>
          <w:bCs/>
          <w:sz w:val="28"/>
          <w:szCs w:val="28"/>
        </w:rPr>
      </w:pPr>
      <w:bookmarkStart w:id="41" w:name="_Toc18866"/>
      <w:bookmarkStart w:id="42" w:name="_Toc48722665"/>
      <w:r>
        <w:rPr>
          <w:rFonts w:hint="eastAsia" w:hAnsi="宋体"/>
          <w:b/>
          <w:bCs/>
          <w:sz w:val="28"/>
          <w:szCs w:val="28"/>
        </w:rPr>
        <w:t>附件三 安全管理协议书</w:t>
      </w:r>
      <w:bookmarkEnd w:id="41"/>
      <w:bookmarkEnd w:id="42"/>
    </w:p>
    <w:p>
      <w:pPr>
        <w:spacing w:line="360" w:lineRule="auto"/>
        <w:ind w:firstLine="551" w:firstLineChars="197"/>
        <w:rPr>
          <w:rFonts w:hAnsi="宋体"/>
          <w:sz w:val="28"/>
          <w:szCs w:val="28"/>
        </w:rPr>
      </w:pPr>
    </w:p>
    <w:p>
      <w:pPr>
        <w:spacing w:line="360" w:lineRule="auto"/>
        <w:ind w:firstLine="551" w:firstLineChars="197"/>
        <w:rPr>
          <w:rFonts w:hAnsi="宋体"/>
          <w:sz w:val="28"/>
          <w:szCs w:val="28"/>
        </w:rPr>
      </w:pPr>
      <w:r>
        <w:rPr>
          <w:rFonts w:hint="eastAsia" w:hAnsi="宋体"/>
          <w:sz w:val="28"/>
          <w:szCs w:val="28"/>
        </w:rPr>
        <w:t>编号：</w:t>
      </w:r>
    </w:p>
    <w:p>
      <w:pPr>
        <w:spacing w:line="360" w:lineRule="auto"/>
        <w:ind w:firstLine="551" w:firstLineChars="197"/>
        <w:rPr>
          <w:rFonts w:hAnsi="宋体"/>
          <w:sz w:val="28"/>
          <w:szCs w:val="28"/>
        </w:rPr>
      </w:pPr>
      <w:r>
        <w:rPr>
          <w:rFonts w:hint="eastAsia" w:hAnsi="宋体"/>
          <w:sz w:val="28"/>
          <w:szCs w:val="28"/>
        </w:rPr>
        <w:t>发包单位：                          （以下简称甲方）</w:t>
      </w:r>
    </w:p>
    <w:p>
      <w:pPr>
        <w:spacing w:line="360" w:lineRule="auto"/>
        <w:ind w:firstLine="551" w:firstLineChars="197"/>
        <w:rPr>
          <w:rFonts w:hAnsi="宋体"/>
          <w:sz w:val="28"/>
          <w:szCs w:val="28"/>
        </w:rPr>
      </w:pPr>
      <w:r>
        <w:rPr>
          <w:rFonts w:hint="eastAsia" w:hAnsi="宋体"/>
          <w:sz w:val="28"/>
          <w:szCs w:val="28"/>
        </w:rPr>
        <w:t>外委单位：                          （以下简称乙方）</w:t>
      </w:r>
    </w:p>
    <w:p>
      <w:pPr>
        <w:spacing w:line="360" w:lineRule="auto"/>
        <w:ind w:firstLine="472" w:firstLineChars="197"/>
        <w:rPr>
          <w:rFonts w:hAnsi="宋体"/>
          <w:sz w:val="24"/>
        </w:rPr>
      </w:pPr>
      <w:r>
        <w:rPr>
          <w:rFonts w:hint="eastAsia" w:hAnsi="宋体"/>
          <w:sz w:val="24"/>
        </w:rPr>
        <w:t>根据甲方工作需要，现将                       工程项目（合同号：          ）发包乙方施工，为确保工程项目安全顺利进行，为明确甲乙双方的安全职责，根据安全生产工作的相关规定，经协商签订本协议，甲乙双方应严格履行。</w:t>
      </w:r>
    </w:p>
    <w:p>
      <w:pPr>
        <w:spacing w:line="360" w:lineRule="auto"/>
        <w:ind w:firstLine="472" w:firstLineChars="197"/>
        <w:rPr>
          <w:rFonts w:hAnsi="宋体"/>
          <w:sz w:val="24"/>
        </w:rPr>
      </w:pPr>
      <w:bookmarkStart w:id="43" w:name="_Toc18606_WPSOffice_Level1"/>
      <w:bookmarkStart w:id="44" w:name="_Toc5001_WPSOffice_Level1"/>
      <w:bookmarkStart w:id="45" w:name="_Toc3830_WPSOffice_Level1"/>
      <w:bookmarkStart w:id="46" w:name="_Toc30676_WPSOffice_Level1"/>
      <w:bookmarkStart w:id="47" w:name="_Toc1194_WPSOffice_Level1"/>
      <w:r>
        <w:rPr>
          <w:rFonts w:hint="eastAsia" w:hAnsi="宋体"/>
          <w:sz w:val="24"/>
        </w:rPr>
        <w:t>1 总则</w:t>
      </w:r>
      <w:bookmarkEnd w:id="43"/>
      <w:bookmarkEnd w:id="44"/>
      <w:bookmarkEnd w:id="45"/>
      <w:bookmarkEnd w:id="46"/>
      <w:bookmarkEnd w:id="47"/>
    </w:p>
    <w:p>
      <w:pPr>
        <w:spacing w:line="360" w:lineRule="auto"/>
        <w:ind w:firstLine="472" w:firstLineChars="197"/>
        <w:rPr>
          <w:rFonts w:hAnsi="宋体"/>
          <w:sz w:val="24"/>
        </w:rPr>
      </w:pPr>
      <w:r>
        <w:rPr>
          <w:rFonts w:hint="eastAsia" w:hAnsi="宋体"/>
          <w:sz w:val="24"/>
        </w:rPr>
        <w:t>1.1双方均应认真执行“安全第一、预防为主、综合治理”的安全工作方针，落实各自的安全生产责任，共同做好现场的安全、文明生产工作，提高安全、健康、环保的综合管理水平。</w:t>
      </w:r>
    </w:p>
    <w:p>
      <w:pPr>
        <w:spacing w:line="360" w:lineRule="auto"/>
        <w:ind w:firstLine="472" w:firstLineChars="197"/>
        <w:rPr>
          <w:rFonts w:hAnsi="宋体"/>
          <w:sz w:val="24"/>
        </w:rPr>
      </w:pPr>
      <w:r>
        <w:rPr>
          <w:rFonts w:hint="eastAsia" w:hAnsi="宋体"/>
          <w:sz w:val="24"/>
        </w:rPr>
        <w:t>1.2双方都应从组织上加强防止违章、违规作业的领导和管理，充分发挥安全保证体系和安全监督体系的作用，深入贯彻落实国家安全生产法律、法规及行业安全生产的各项规章制度。</w:t>
      </w:r>
    </w:p>
    <w:p>
      <w:pPr>
        <w:spacing w:line="360" w:lineRule="auto"/>
        <w:ind w:firstLine="472" w:firstLineChars="197"/>
        <w:rPr>
          <w:rFonts w:hAnsi="宋体"/>
          <w:sz w:val="24"/>
        </w:rPr>
      </w:pPr>
      <w:r>
        <w:rPr>
          <w:rFonts w:hint="eastAsia" w:hAnsi="宋体"/>
          <w:sz w:val="24"/>
        </w:rPr>
        <w:t>1.3在履行本协议过程中，如在执行“安全、健康、环保标准”方面存在异议，以安装施工相应规程、规定、制度为标准。</w:t>
      </w:r>
    </w:p>
    <w:p>
      <w:pPr>
        <w:spacing w:line="360" w:lineRule="auto"/>
        <w:ind w:firstLine="472" w:firstLineChars="197"/>
        <w:rPr>
          <w:rFonts w:hAnsi="宋体"/>
          <w:sz w:val="24"/>
        </w:rPr>
      </w:pPr>
      <w:bookmarkStart w:id="48" w:name="_Toc11695_WPSOffice_Level1"/>
      <w:bookmarkStart w:id="49" w:name="_Toc5975_WPSOffice_Level1"/>
      <w:bookmarkStart w:id="50" w:name="_Toc21592_WPSOffice_Level1"/>
      <w:bookmarkStart w:id="51" w:name="_Toc26379_WPSOffice_Level1"/>
      <w:bookmarkStart w:id="52" w:name="_Toc6675_WPSOffice_Level1"/>
      <w:r>
        <w:rPr>
          <w:rFonts w:hint="eastAsia" w:hAnsi="宋体"/>
          <w:sz w:val="24"/>
        </w:rPr>
        <w:t>2 甲方安全责任</w:t>
      </w:r>
      <w:bookmarkEnd w:id="48"/>
      <w:bookmarkEnd w:id="49"/>
      <w:bookmarkEnd w:id="50"/>
      <w:bookmarkEnd w:id="51"/>
      <w:bookmarkEnd w:id="52"/>
    </w:p>
    <w:p>
      <w:pPr>
        <w:spacing w:line="360" w:lineRule="auto"/>
        <w:ind w:firstLine="472" w:firstLineChars="197"/>
        <w:rPr>
          <w:rFonts w:hAnsi="宋体"/>
          <w:sz w:val="24"/>
        </w:rPr>
      </w:pPr>
      <w:r>
        <w:rPr>
          <w:rFonts w:hint="eastAsia" w:hAnsi="宋体"/>
          <w:sz w:val="24"/>
        </w:rPr>
        <w:t>2.1对乙方的资质、条件进行审查，符合安全生产相关规定的要求。</w:t>
      </w:r>
    </w:p>
    <w:p>
      <w:pPr>
        <w:spacing w:line="360" w:lineRule="auto"/>
        <w:ind w:firstLine="472" w:firstLineChars="197"/>
        <w:rPr>
          <w:rFonts w:hAnsi="宋体"/>
          <w:sz w:val="24"/>
        </w:rPr>
      </w:pPr>
      <w:r>
        <w:rPr>
          <w:rFonts w:hint="eastAsia" w:hAnsi="宋体"/>
          <w:sz w:val="24"/>
        </w:rPr>
        <w:t>2.2在开工前，对乙方提供的人员名单进行入场安全教育培训。</w:t>
      </w:r>
    </w:p>
    <w:p>
      <w:pPr>
        <w:spacing w:line="360" w:lineRule="auto"/>
        <w:ind w:firstLine="472" w:firstLineChars="197"/>
        <w:rPr>
          <w:rFonts w:hAnsi="宋体"/>
          <w:sz w:val="24"/>
        </w:rPr>
      </w:pPr>
      <w:r>
        <w:rPr>
          <w:rFonts w:hint="eastAsia" w:hAnsi="宋体"/>
          <w:sz w:val="24"/>
        </w:rPr>
        <w:t>2.3开工前甲方对乙方进行施工安全技术交底，并应有书面记录或资料。</w:t>
      </w:r>
    </w:p>
    <w:p>
      <w:pPr>
        <w:spacing w:line="360" w:lineRule="auto"/>
        <w:ind w:firstLine="472" w:firstLineChars="197"/>
        <w:rPr>
          <w:rFonts w:hAnsi="宋体"/>
          <w:sz w:val="24"/>
        </w:rPr>
      </w:pPr>
      <w:r>
        <w:rPr>
          <w:rFonts w:hint="eastAsia" w:hAnsi="宋体"/>
          <w:sz w:val="24"/>
        </w:rPr>
        <w:t>2.4甲方有权检查督促乙方执行有关安全生产方面的工作规定，对乙方不符合安全文明施工的行为进行制止、纠正并发出安全监察通知书。</w:t>
      </w:r>
    </w:p>
    <w:p>
      <w:pPr>
        <w:spacing w:line="360" w:lineRule="auto"/>
        <w:ind w:firstLine="472" w:firstLineChars="197"/>
        <w:rPr>
          <w:rFonts w:hAnsi="宋体"/>
          <w:sz w:val="24"/>
        </w:rPr>
      </w:pPr>
      <w:r>
        <w:rPr>
          <w:rFonts w:hint="eastAsia" w:hAnsi="宋体"/>
          <w:sz w:val="24"/>
        </w:rPr>
        <w:t>2.5甲方指派（项目负责人）同志负责与乙方联系安全生产、质量控制、进度协调等方面的工作。</w:t>
      </w:r>
    </w:p>
    <w:p>
      <w:pPr>
        <w:spacing w:line="360" w:lineRule="auto"/>
        <w:ind w:firstLine="472" w:firstLineChars="197"/>
        <w:rPr>
          <w:rFonts w:hAnsi="宋体"/>
          <w:sz w:val="24"/>
        </w:rPr>
      </w:pPr>
      <w:r>
        <w:rPr>
          <w:rFonts w:hint="eastAsia" w:hAnsi="宋体"/>
          <w:sz w:val="24"/>
        </w:rPr>
        <w:t>2.6甲方有权对工作中的安全措施是否正确完备进行监督。</w:t>
      </w:r>
    </w:p>
    <w:p>
      <w:pPr>
        <w:spacing w:line="360" w:lineRule="auto"/>
        <w:ind w:firstLine="472" w:firstLineChars="197"/>
        <w:rPr>
          <w:rFonts w:hAnsi="宋体"/>
          <w:sz w:val="24"/>
        </w:rPr>
      </w:pPr>
      <w:r>
        <w:rPr>
          <w:rFonts w:hint="eastAsia" w:hAnsi="宋体"/>
          <w:sz w:val="24"/>
        </w:rPr>
        <w:t>2.7甲方有权要求乙方制定确保施工安全的组织措施、安全措施和技术措施，并监督执行。</w:t>
      </w:r>
    </w:p>
    <w:p>
      <w:pPr>
        <w:spacing w:line="360" w:lineRule="auto"/>
        <w:ind w:firstLine="472" w:firstLineChars="197"/>
        <w:rPr>
          <w:rFonts w:hAnsi="宋体"/>
          <w:sz w:val="24"/>
        </w:rPr>
      </w:pPr>
      <w:r>
        <w:rPr>
          <w:rFonts w:hint="eastAsia" w:hAnsi="宋体"/>
          <w:sz w:val="24"/>
        </w:rPr>
        <w:t>2.8甲方有权对乙方参与施工的人员进行安全技术知识和安全工作规程的抽考。</w:t>
      </w:r>
    </w:p>
    <w:p>
      <w:pPr>
        <w:spacing w:line="360" w:lineRule="auto"/>
        <w:ind w:firstLine="472" w:firstLineChars="197"/>
        <w:rPr>
          <w:rFonts w:hAnsi="宋体"/>
          <w:sz w:val="24"/>
        </w:rPr>
      </w:pPr>
      <w:r>
        <w:rPr>
          <w:rFonts w:hint="eastAsia" w:hAnsi="宋体"/>
          <w:sz w:val="24"/>
        </w:rPr>
        <w:t>2.9乙方发生违章行为，或乙方责任造成的经济损失的不安全事件，甲方有权按照相关约定进行考核，发生乙方责任事故的，按照国家相关法律、法规、规定及施工合同赔偿条款处理，甲方保留追诉权。</w:t>
      </w:r>
    </w:p>
    <w:p>
      <w:pPr>
        <w:spacing w:line="360" w:lineRule="auto"/>
        <w:ind w:firstLine="472" w:firstLineChars="197"/>
        <w:rPr>
          <w:rFonts w:hAnsi="宋体"/>
          <w:sz w:val="24"/>
        </w:rPr>
      </w:pPr>
      <w:r>
        <w:rPr>
          <w:rFonts w:hint="eastAsia" w:hAnsi="宋体"/>
          <w:sz w:val="24"/>
        </w:rPr>
        <w:t>2.10在有危险性的区域内作业，如可能造成火灾、爆炸、触电、高空坠落、中毒、窒息、机械伤害、烧烫伤等容易引起人身伤害和货物事故的场所，甲方应事先要求乙方制定安全技术措施，经甲方审查后，监督实施。</w:t>
      </w:r>
    </w:p>
    <w:p>
      <w:pPr>
        <w:spacing w:line="360" w:lineRule="auto"/>
        <w:ind w:firstLine="472" w:firstLineChars="197"/>
        <w:rPr>
          <w:rFonts w:hAnsi="宋体"/>
          <w:sz w:val="24"/>
        </w:rPr>
      </w:pPr>
      <w:bookmarkStart w:id="53" w:name="_Toc21162_WPSOffice_Level1"/>
      <w:bookmarkStart w:id="54" w:name="_Toc4130_WPSOffice_Level1"/>
      <w:bookmarkStart w:id="55" w:name="_Toc1576_WPSOffice_Level1"/>
      <w:bookmarkStart w:id="56" w:name="_Toc7348_WPSOffice_Level1"/>
      <w:bookmarkStart w:id="57" w:name="_Toc24382_WPSOffice_Level1"/>
      <w:r>
        <w:rPr>
          <w:rFonts w:hint="eastAsia" w:hAnsi="宋体"/>
          <w:sz w:val="24"/>
        </w:rPr>
        <w:t>3  乙方安全责任</w:t>
      </w:r>
      <w:bookmarkEnd w:id="53"/>
      <w:bookmarkEnd w:id="54"/>
      <w:bookmarkEnd w:id="55"/>
      <w:bookmarkEnd w:id="56"/>
      <w:bookmarkEnd w:id="57"/>
    </w:p>
    <w:p>
      <w:pPr>
        <w:spacing w:line="360" w:lineRule="auto"/>
        <w:ind w:firstLine="472" w:firstLineChars="197"/>
        <w:rPr>
          <w:rFonts w:hAnsi="宋体"/>
          <w:sz w:val="24"/>
        </w:rPr>
      </w:pPr>
      <w:r>
        <w:rPr>
          <w:rFonts w:hint="eastAsia" w:hAnsi="宋体"/>
          <w:sz w:val="24"/>
        </w:rPr>
        <w:t>乙方必须落实甲方安全生产责任制，明确制定安全生产目标：杜绝一般及以上人身伤亡事故；杜绝乙方责任的一般及以上货物事故和安全事故（事件）；杜绝火灾事故；在施工区内杜绝交通事故；杜绝环境污染事故；不发生人身轻伤、障碍、异常等不安全事件。乙方应切实履行以下安全责任：</w:t>
      </w:r>
    </w:p>
    <w:p>
      <w:pPr>
        <w:spacing w:line="360" w:lineRule="auto"/>
        <w:ind w:firstLine="472" w:firstLineChars="197"/>
        <w:rPr>
          <w:rFonts w:hAnsi="宋体"/>
          <w:sz w:val="24"/>
        </w:rPr>
      </w:pPr>
      <w:r>
        <w:rPr>
          <w:rFonts w:hint="eastAsia" w:hAnsi="宋体"/>
          <w:sz w:val="24"/>
        </w:rPr>
        <w:t>3.1乙方法人代表是本单位的安全第一责任人，乙方的施工项目负责人（施工第一责任者）是本工程的安全第一责任者，应全面负责安全管理工作，切实履行安全职责。</w:t>
      </w:r>
    </w:p>
    <w:p>
      <w:pPr>
        <w:spacing w:line="360" w:lineRule="auto"/>
        <w:ind w:firstLine="472" w:firstLineChars="197"/>
        <w:rPr>
          <w:rFonts w:hAnsi="宋体"/>
          <w:sz w:val="24"/>
        </w:rPr>
      </w:pPr>
      <w:r>
        <w:rPr>
          <w:rFonts w:hint="eastAsia" w:hAnsi="宋体"/>
          <w:sz w:val="24"/>
        </w:rPr>
        <w:t>3.2乙方所提供的承包工程要求的相关资质证明材料应真实、合法、有效。</w:t>
      </w:r>
    </w:p>
    <w:p>
      <w:pPr>
        <w:spacing w:line="360" w:lineRule="auto"/>
        <w:ind w:firstLine="472" w:firstLineChars="197"/>
        <w:rPr>
          <w:rFonts w:hAnsi="宋体"/>
          <w:sz w:val="24"/>
        </w:rPr>
      </w:pPr>
      <w:r>
        <w:rPr>
          <w:rFonts w:hint="eastAsia" w:hAnsi="宋体"/>
          <w:sz w:val="24"/>
        </w:rPr>
        <w:t>3.3乙方必须建立安全生产管理组织体系，配置安全管理组织机构和专（兼）职安全监察人员,认真开展安全监察工作,并随时和甲方互通情况。乙方指派          作为安全工作联系人。开工前应自上而下进行安全技术交底，使全体施工人员均掌握工程情况，危险作业点以及施工安全措施。</w:t>
      </w:r>
    </w:p>
    <w:p>
      <w:pPr>
        <w:spacing w:line="360" w:lineRule="auto"/>
        <w:ind w:firstLine="472" w:firstLineChars="197"/>
        <w:rPr>
          <w:rFonts w:hAnsi="宋体"/>
          <w:sz w:val="24"/>
        </w:rPr>
      </w:pPr>
      <w:r>
        <w:rPr>
          <w:rFonts w:hint="eastAsia" w:hAnsi="宋体"/>
          <w:sz w:val="24"/>
        </w:rPr>
        <w:t>3.4特种（货物）作业人员必须取得政府主管部门颁发的有效资格证书才能上岗。</w:t>
      </w:r>
    </w:p>
    <w:p>
      <w:pPr>
        <w:spacing w:line="360" w:lineRule="auto"/>
        <w:ind w:firstLine="472" w:firstLineChars="197"/>
        <w:rPr>
          <w:rFonts w:hAnsi="宋体"/>
          <w:sz w:val="24"/>
        </w:rPr>
      </w:pPr>
      <w:r>
        <w:rPr>
          <w:rFonts w:hint="eastAsia" w:hAnsi="宋体"/>
          <w:sz w:val="24"/>
        </w:rPr>
        <w:t>3.5乙方进入现场作业人员应按总人数的5%（不少于1人）配备急救员，急救员应有国家有关部门核发的合格有效的上岗资格证书，复印件报给甲方项目管理部门备案。</w:t>
      </w:r>
    </w:p>
    <w:p>
      <w:pPr>
        <w:spacing w:line="360" w:lineRule="auto"/>
        <w:ind w:firstLine="472" w:firstLineChars="197"/>
        <w:rPr>
          <w:rFonts w:hAnsi="宋体"/>
          <w:sz w:val="24"/>
        </w:rPr>
      </w:pPr>
      <w:r>
        <w:rPr>
          <w:rFonts w:hint="eastAsia" w:hAnsi="宋体"/>
          <w:sz w:val="24"/>
        </w:rPr>
        <w:t>3.6乙方对所有工作人员的身体素质、精神状况、技能水平、作业中的安全行为及工期延误负责。</w:t>
      </w:r>
    </w:p>
    <w:p>
      <w:pPr>
        <w:spacing w:line="360" w:lineRule="auto"/>
        <w:ind w:firstLine="472" w:firstLineChars="197"/>
        <w:rPr>
          <w:rFonts w:hAnsi="宋体"/>
          <w:sz w:val="24"/>
        </w:rPr>
      </w:pPr>
      <w:r>
        <w:rPr>
          <w:rFonts w:hint="eastAsia" w:hAnsi="宋体"/>
          <w:sz w:val="24"/>
        </w:rPr>
        <w:t>3.7乙方开工前应组织全体施工人员认真学习《中华人民共和国安全生产法》、《电业（力）安全工作规程》、《电力建设安全工作规程》、《电力货物典型消防规程》等规定中的相关部分，经考试合格方可进行工作，并将考试成绩书面报甲方项目管理部门审核备案。以后若发生人员变更，在进入现场前，保证遵照以上程序办理。</w:t>
      </w:r>
    </w:p>
    <w:p>
      <w:pPr>
        <w:spacing w:line="360" w:lineRule="auto"/>
        <w:ind w:firstLine="472" w:firstLineChars="197"/>
        <w:rPr>
          <w:rFonts w:hAnsi="宋体"/>
          <w:sz w:val="24"/>
        </w:rPr>
      </w:pPr>
      <w:r>
        <w:rPr>
          <w:rFonts w:hint="eastAsia" w:hAnsi="宋体"/>
          <w:sz w:val="24"/>
        </w:rPr>
        <w:t>3.8乙方负责所属工作人员着装整齐，符合《安规》着装规定，佩戴《出入证》。乙方保证不使用未成年工和不适应现场安全施工的老、弱、病、残等人员进行施工。</w:t>
      </w:r>
    </w:p>
    <w:p>
      <w:pPr>
        <w:spacing w:line="360" w:lineRule="auto"/>
        <w:ind w:firstLine="472" w:firstLineChars="197"/>
        <w:rPr>
          <w:rFonts w:hAnsi="宋体"/>
          <w:sz w:val="24"/>
        </w:rPr>
      </w:pPr>
      <w:r>
        <w:rPr>
          <w:rFonts w:hint="eastAsia" w:hAnsi="宋体"/>
          <w:sz w:val="24"/>
        </w:rPr>
        <w:t>3.9乙方每次开工前应对施工机械、工器具及安全防护设施、安全用具进行检查，确保符合安全规定并不超过检验周期。</w:t>
      </w:r>
    </w:p>
    <w:p>
      <w:pPr>
        <w:spacing w:line="360" w:lineRule="auto"/>
        <w:ind w:firstLine="472" w:firstLineChars="197"/>
        <w:rPr>
          <w:rFonts w:hAnsi="宋体"/>
          <w:sz w:val="24"/>
        </w:rPr>
      </w:pPr>
      <w:r>
        <w:rPr>
          <w:rFonts w:hint="eastAsia" w:hAnsi="宋体"/>
          <w:sz w:val="24"/>
        </w:rPr>
        <w:t>3.10在现场施工中，必须严格执行甲方安全、文明生产（施工）有关规定。</w:t>
      </w:r>
    </w:p>
    <w:p>
      <w:pPr>
        <w:spacing w:line="360" w:lineRule="auto"/>
        <w:ind w:firstLine="472" w:firstLineChars="197"/>
        <w:rPr>
          <w:rFonts w:hAnsi="宋体"/>
          <w:sz w:val="24"/>
        </w:rPr>
      </w:pPr>
      <w:r>
        <w:rPr>
          <w:rFonts w:hint="eastAsia" w:hAnsi="宋体"/>
          <w:sz w:val="24"/>
        </w:rPr>
        <w:t>3.11乙方必须接受甲方的监督、管理和指导。发生各类事故或不安全情况，必须立即报告甲方项目管理部门。</w:t>
      </w:r>
    </w:p>
    <w:p>
      <w:pPr>
        <w:spacing w:line="360" w:lineRule="auto"/>
        <w:ind w:firstLine="472" w:firstLineChars="197"/>
        <w:rPr>
          <w:rFonts w:hAnsi="宋体"/>
          <w:sz w:val="24"/>
        </w:rPr>
      </w:pPr>
      <w:r>
        <w:rPr>
          <w:rFonts w:hint="eastAsia" w:hAnsi="宋体"/>
          <w:sz w:val="24"/>
        </w:rPr>
        <w:t>3.12乙方所承担的施工项目必须编制安全措施或作业指导书，复杂的和危险性较大的重大危险作业工程，乙方应制定专项施工方案，经甲方审查合格后实施。无安全措施和专项施工方案不允许开工。</w:t>
      </w:r>
    </w:p>
    <w:p>
      <w:pPr>
        <w:spacing w:line="360" w:lineRule="auto"/>
        <w:ind w:firstLine="472" w:firstLineChars="197"/>
        <w:rPr>
          <w:rFonts w:hAnsi="宋体"/>
          <w:sz w:val="24"/>
        </w:rPr>
      </w:pPr>
      <w:r>
        <w:rPr>
          <w:rFonts w:hint="eastAsia" w:hAnsi="宋体"/>
          <w:sz w:val="24"/>
        </w:rPr>
        <w:t>3.13工作中人身安全受到威胁时，乙方有责任立即处理并同时报告甲方项目管理部门。</w:t>
      </w:r>
    </w:p>
    <w:p>
      <w:pPr>
        <w:spacing w:line="360" w:lineRule="auto"/>
        <w:ind w:firstLine="472" w:firstLineChars="197"/>
        <w:rPr>
          <w:rFonts w:hAnsi="宋体"/>
          <w:sz w:val="24"/>
        </w:rPr>
      </w:pPr>
      <w:r>
        <w:rPr>
          <w:rFonts w:hint="eastAsia" w:hAnsi="宋体"/>
          <w:sz w:val="24"/>
        </w:rPr>
        <w:t>3.14由于非甲方原因而造成的人身伤亡，工期延误、货物损坏由乙方负全部责任。</w:t>
      </w:r>
    </w:p>
    <w:p>
      <w:pPr>
        <w:spacing w:line="360" w:lineRule="auto"/>
        <w:ind w:firstLine="472" w:firstLineChars="197"/>
        <w:rPr>
          <w:rFonts w:hAnsi="宋体"/>
          <w:sz w:val="24"/>
        </w:rPr>
      </w:pPr>
      <w:r>
        <w:rPr>
          <w:rFonts w:hint="eastAsia" w:hAnsi="宋体"/>
          <w:sz w:val="24"/>
        </w:rPr>
        <w:t>3.15开工前，乙方施工人员做到：着装、个人防护用品规范、精神状态合格。</w:t>
      </w:r>
    </w:p>
    <w:p>
      <w:pPr>
        <w:spacing w:line="360" w:lineRule="auto"/>
        <w:ind w:firstLine="472" w:firstLineChars="197"/>
        <w:rPr>
          <w:rFonts w:hAnsi="宋体"/>
          <w:sz w:val="24"/>
        </w:rPr>
      </w:pPr>
      <w:r>
        <w:rPr>
          <w:rFonts w:hint="eastAsia" w:hAnsi="宋体"/>
          <w:sz w:val="24"/>
        </w:rPr>
        <w:t>3.16乙方应在施工范围装设临时围栏和警告标志，不得超越指定的施工范围进行施工，禁止无关人员进入施工现场。未经甲方同意，乙方不得擅自进入建筑施工区域；不得擅自拆除、变更甲方防护设施及标示；禁止超范围作业。</w:t>
      </w:r>
    </w:p>
    <w:p>
      <w:pPr>
        <w:spacing w:line="360" w:lineRule="auto"/>
        <w:ind w:firstLine="472" w:firstLineChars="197"/>
        <w:rPr>
          <w:rFonts w:hAnsi="宋体"/>
          <w:sz w:val="24"/>
        </w:rPr>
      </w:pPr>
      <w:r>
        <w:rPr>
          <w:rFonts w:hint="eastAsia" w:hAnsi="宋体"/>
          <w:sz w:val="24"/>
        </w:rPr>
        <w:t>3.17乙方应为从业人员配备必要的职业健康防护设施、器具及防护品；应按照相关规定组织开展职业健康宣传教育，并安排相关岗位人员定期进行职业健康体检。</w:t>
      </w:r>
    </w:p>
    <w:p>
      <w:pPr>
        <w:spacing w:line="360" w:lineRule="auto"/>
        <w:ind w:firstLine="472" w:firstLineChars="197"/>
        <w:rPr>
          <w:rFonts w:hAnsi="宋体"/>
          <w:sz w:val="24"/>
        </w:rPr>
      </w:pPr>
      <w:r>
        <w:rPr>
          <w:rFonts w:hint="eastAsia" w:hAnsi="宋体"/>
          <w:sz w:val="24"/>
        </w:rPr>
        <w:t>3.18乙方施工过程中需使用电、气、水源，应事先与甲方取得联系，不得私拉乱接。中断作业或遇故障应立即切断有关开关。临时电源禁止使用单股塑胶线，电源盘必须使用三芯或四芯橡胶电缆，要有漏电保护器、接地线。漏电保护器、电焊机、手持电动器具等所有电气货物的金属外壳均应有良好的接地。</w:t>
      </w:r>
    </w:p>
    <w:p>
      <w:pPr>
        <w:spacing w:line="360" w:lineRule="auto"/>
        <w:ind w:firstLine="472" w:firstLineChars="197"/>
        <w:rPr>
          <w:rFonts w:hAnsi="宋体"/>
          <w:sz w:val="24"/>
        </w:rPr>
      </w:pPr>
      <w:r>
        <w:rPr>
          <w:rFonts w:hint="eastAsia" w:hAnsi="宋体"/>
          <w:sz w:val="24"/>
        </w:rPr>
        <w:t>3.19乙方施工过程中应确保安全文明施工。做好检修区域隔离，如警示带、标示牌、围栏等。取下井、坑、孔、洞或沟道盖板后，必须设置围栏和警告标示。做到工完、料尽、场地清，垃圾废料分类堆放。搬运物品的汽车不能超载、超速，不能人货混装。</w:t>
      </w:r>
    </w:p>
    <w:p>
      <w:pPr>
        <w:spacing w:line="360" w:lineRule="auto"/>
        <w:ind w:firstLine="472" w:firstLineChars="197"/>
        <w:rPr>
          <w:rFonts w:hAnsi="宋体"/>
          <w:sz w:val="24"/>
        </w:rPr>
      </w:pPr>
      <w:r>
        <w:rPr>
          <w:rFonts w:hint="eastAsia" w:hAnsi="宋体"/>
          <w:sz w:val="24"/>
        </w:rPr>
        <w:t>3.20乙方施工过程中对于转动机械等货物的送电、试转须告知甲方并在甲方指导下进行。施工现场不能随便动火，动火必须办理好审批手续，注意做好防火防爆措施。易燃易爆物品、危险品使用要符合安全规定要求。气割使用的氧气、乙炔之间距离，与动火点距离要达到要求。</w:t>
      </w:r>
    </w:p>
    <w:p>
      <w:pPr>
        <w:spacing w:line="360" w:lineRule="auto"/>
        <w:ind w:firstLine="472" w:firstLineChars="197"/>
        <w:rPr>
          <w:rFonts w:hAnsi="宋体"/>
          <w:sz w:val="24"/>
        </w:rPr>
      </w:pPr>
      <w:r>
        <w:rPr>
          <w:rFonts w:hint="eastAsia" w:hAnsi="宋体"/>
          <w:sz w:val="24"/>
        </w:rPr>
        <w:t>3.21金属容器内工作时，必须使用24伏以下的电气工具，并装设漏电保护器。在特别潮湿或周围都是金属体的地方以及容器内工作，其行灯的电压不准超过12伏，行灯变不准放在容器内部。容器内作业，进口外面必须设专人监护。手拉葫芦、起重货物使用必须注意安全防护，不在起重货物下站立。</w:t>
      </w:r>
    </w:p>
    <w:p>
      <w:pPr>
        <w:spacing w:line="360" w:lineRule="auto"/>
        <w:ind w:firstLine="472" w:firstLineChars="197"/>
        <w:rPr>
          <w:rFonts w:hAnsi="宋体"/>
          <w:sz w:val="24"/>
        </w:rPr>
      </w:pPr>
      <w:r>
        <w:rPr>
          <w:rFonts w:hint="eastAsia" w:hAnsi="宋体"/>
          <w:sz w:val="24"/>
        </w:rPr>
        <w:t>3.22高空作业应注意做好防坠落、防坠物措施。高空作业必须系好安全带，作业需要时还应拉设安全网。离地1.5米以上且无护栏必须挂安全带。如有外墙作业必须系好安全带和安全绳，安全带、安全绳和吊笼均要可靠系好。脚手架的搭设符合规定，且必须经过验收才可以使用。严禁从高空直接扔下材料器具等。</w:t>
      </w:r>
    </w:p>
    <w:p>
      <w:pPr>
        <w:spacing w:line="360" w:lineRule="auto"/>
        <w:ind w:firstLine="472" w:firstLineChars="197"/>
        <w:rPr>
          <w:rFonts w:hAnsi="宋体"/>
          <w:sz w:val="24"/>
        </w:rPr>
      </w:pPr>
      <w:r>
        <w:rPr>
          <w:rFonts w:hint="eastAsia" w:hAnsi="宋体"/>
          <w:sz w:val="24"/>
        </w:rPr>
        <w:t>3.23对乙方出现安全、文明施工严重失控的情况，甲方有权责令其纠正，停工整顿或辞退，造成经济损失者，由乙方承担。</w:t>
      </w:r>
    </w:p>
    <w:p>
      <w:pPr>
        <w:spacing w:line="360" w:lineRule="auto"/>
        <w:ind w:firstLine="472" w:firstLineChars="197"/>
        <w:rPr>
          <w:rFonts w:hAnsi="宋体"/>
          <w:sz w:val="24"/>
        </w:rPr>
      </w:pPr>
      <w:r>
        <w:rPr>
          <w:rFonts w:hint="eastAsia" w:hAnsi="宋体"/>
          <w:sz w:val="24"/>
        </w:rPr>
        <w:t>3.24其他应补充的条款。</w:t>
      </w:r>
    </w:p>
    <w:p>
      <w:pPr>
        <w:spacing w:line="360" w:lineRule="auto"/>
        <w:ind w:firstLine="472" w:firstLineChars="197"/>
        <w:rPr>
          <w:rFonts w:hAnsi="宋体"/>
          <w:sz w:val="24"/>
        </w:rPr>
      </w:pPr>
      <w:bookmarkStart w:id="58" w:name="_Toc19343_WPSOffice_Level1"/>
      <w:bookmarkStart w:id="59" w:name="_Toc21638_WPSOffice_Level1"/>
      <w:bookmarkStart w:id="60" w:name="_Toc6491_WPSOffice_Level1"/>
      <w:bookmarkStart w:id="61" w:name="_Toc23312_WPSOffice_Level1"/>
      <w:bookmarkStart w:id="62" w:name="_Toc25802_WPSOffice_Level1"/>
      <w:r>
        <w:rPr>
          <w:rFonts w:hint="eastAsia" w:hAnsi="宋体"/>
          <w:sz w:val="24"/>
        </w:rPr>
        <w:t>4 违约责任</w:t>
      </w:r>
      <w:bookmarkEnd w:id="58"/>
      <w:bookmarkEnd w:id="59"/>
      <w:bookmarkEnd w:id="60"/>
      <w:bookmarkEnd w:id="61"/>
      <w:bookmarkEnd w:id="62"/>
    </w:p>
    <w:p>
      <w:pPr>
        <w:spacing w:line="360" w:lineRule="auto"/>
        <w:ind w:firstLine="472" w:firstLineChars="197"/>
        <w:rPr>
          <w:rFonts w:hAnsi="宋体"/>
          <w:sz w:val="24"/>
        </w:rPr>
      </w:pPr>
      <w:r>
        <w:rPr>
          <w:rFonts w:hint="eastAsia" w:hAnsi="宋体"/>
          <w:sz w:val="24"/>
        </w:rPr>
        <w:t>4.1由于甲方或乙方责任造成对方或第三方的人身伤害、货物损坏等财产损失，由责任方承担相应责任，并赔偿对方或第三方因此造成的全部经济损失。</w:t>
      </w:r>
    </w:p>
    <w:p>
      <w:pPr>
        <w:spacing w:line="360" w:lineRule="auto"/>
        <w:ind w:firstLine="472" w:firstLineChars="197"/>
        <w:rPr>
          <w:rFonts w:hAnsi="宋体"/>
          <w:sz w:val="24"/>
        </w:rPr>
      </w:pPr>
      <w:r>
        <w:rPr>
          <w:rFonts w:hint="eastAsia" w:hAnsi="宋体"/>
          <w:sz w:val="24"/>
        </w:rPr>
        <w:t>4.2合同履行中，发现乙方提供的有关资质材料无效，甲方有权解除合同，并由乙方承担由此造成的一切损失，乙方应向甲方支付合同总价20％的违约金。</w:t>
      </w:r>
    </w:p>
    <w:p>
      <w:pPr>
        <w:spacing w:line="360" w:lineRule="auto"/>
        <w:ind w:firstLine="472" w:firstLineChars="197"/>
        <w:rPr>
          <w:rFonts w:hAnsi="宋体"/>
          <w:sz w:val="24"/>
        </w:rPr>
      </w:pPr>
      <w:r>
        <w:rPr>
          <w:rFonts w:hint="eastAsia" w:hAnsi="宋体"/>
          <w:sz w:val="24"/>
        </w:rPr>
        <w:t>4.3乙方必须遵守国家法律法规和甲方的安全管理制度，如果乙方违反国家法律法规和甲方的安全管理制度，乙方必须承担相应的违约金。乙方确认在签订本协议时已经充分明确甲方有关安全生产奖惩规定。</w:t>
      </w:r>
    </w:p>
    <w:p>
      <w:pPr>
        <w:spacing w:line="360" w:lineRule="auto"/>
        <w:ind w:firstLine="472" w:firstLineChars="197"/>
        <w:rPr>
          <w:rFonts w:hAnsi="宋体"/>
          <w:sz w:val="24"/>
        </w:rPr>
      </w:pPr>
      <w:r>
        <w:rPr>
          <w:rFonts w:hint="eastAsia" w:hAnsi="宋体"/>
          <w:sz w:val="24"/>
        </w:rPr>
        <w:t>4.4乙方未设置安全管理机构；未能正确、全面执行安全技术措施、施工组织设计；施工人员未掌握本工程项目特点及施工安全措施；用于本工程项目的施工机械、工器具及安全防护用品不满足施工需要，甲方有权要求乙方立即停工整改，由此引起的后果及损失由乙方承担。</w:t>
      </w:r>
    </w:p>
    <w:p>
      <w:pPr>
        <w:spacing w:line="360" w:lineRule="auto"/>
        <w:ind w:firstLine="472" w:firstLineChars="197"/>
        <w:rPr>
          <w:rFonts w:hAnsi="宋体"/>
          <w:sz w:val="24"/>
        </w:rPr>
      </w:pPr>
      <w:r>
        <w:rPr>
          <w:rFonts w:hint="eastAsia" w:hAnsi="宋体"/>
          <w:sz w:val="24"/>
        </w:rPr>
        <w:t>4.5乙方使用甲方提供的设施货物、工器具等造成损坏的，应照价赔偿。</w:t>
      </w:r>
    </w:p>
    <w:p>
      <w:pPr>
        <w:spacing w:line="360" w:lineRule="auto"/>
        <w:ind w:firstLine="472" w:firstLineChars="197"/>
        <w:rPr>
          <w:rFonts w:hAnsi="宋体"/>
          <w:sz w:val="24"/>
        </w:rPr>
      </w:pPr>
      <w:bookmarkStart w:id="63" w:name="_Toc9887_WPSOffice_Level1"/>
      <w:bookmarkStart w:id="64" w:name="_Toc32039_WPSOffice_Level1"/>
      <w:bookmarkStart w:id="65" w:name="_Toc21643_WPSOffice_Level1"/>
      <w:bookmarkStart w:id="66" w:name="_Toc5499_WPSOffice_Level1"/>
      <w:bookmarkStart w:id="67" w:name="_Toc16088_WPSOffice_Level1"/>
      <w:r>
        <w:rPr>
          <w:rFonts w:hint="eastAsia" w:hAnsi="宋体"/>
          <w:sz w:val="24"/>
        </w:rPr>
        <w:t>5 事故报告、调查、统计的规定</w:t>
      </w:r>
      <w:bookmarkEnd w:id="63"/>
      <w:bookmarkEnd w:id="64"/>
      <w:bookmarkEnd w:id="65"/>
      <w:bookmarkEnd w:id="66"/>
      <w:bookmarkEnd w:id="67"/>
    </w:p>
    <w:p>
      <w:pPr>
        <w:spacing w:line="360" w:lineRule="auto"/>
        <w:ind w:firstLine="472" w:firstLineChars="197"/>
        <w:rPr>
          <w:rFonts w:hAnsi="宋体"/>
          <w:sz w:val="24"/>
        </w:rPr>
      </w:pPr>
      <w:r>
        <w:rPr>
          <w:rFonts w:hint="eastAsia" w:hAnsi="宋体"/>
          <w:sz w:val="24"/>
        </w:rPr>
        <w:t>5.1对在工作过程中发生的乙方责任的人身伤亡事故、货物事故及火灾事故等，乙方应立即报告甲方，并配合开展事故调查处置，严格执行事故“四不放过”规定。</w:t>
      </w:r>
    </w:p>
    <w:p>
      <w:pPr>
        <w:spacing w:line="360" w:lineRule="auto"/>
        <w:ind w:firstLine="472" w:firstLineChars="197"/>
        <w:rPr>
          <w:rFonts w:hAnsi="宋体"/>
          <w:sz w:val="24"/>
        </w:rPr>
      </w:pPr>
      <w:r>
        <w:rPr>
          <w:rFonts w:hint="eastAsia" w:hAnsi="宋体"/>
          <w:sz w:val="24"/>
        </w:rPr>
        <w:t>5.2视事故的具体情况组成调查组。</w:t>
      </w:r>
    </w:p>
    <w:p>
      <w:pPr>
        <w:spacing w:line="360" w:lineRule="auto"/>
        <w:ind w:firstLine="472" w:firstLineChars="197"/>
        <w:rPr>
          <w:rFonts w:hAnsi="宋体"/>
          <w:sz w:val="24"/>
        </w:rPr>
      </w:pPr>
      <w:r>
        <w:rPr>
          <w:rFonts w:hint="eastAsia" w:hAnsi="宋体"/>
          <w:sz w:val="24"/>
        </w:rPr>
        <w:t>5.3按照《生产安全事故报告和调查处理条例》规定发生人身伤亡及火灾事故等，需要向地方政府主管管理部门汇报时，双方共同报地方政府主管部门，均不得隐瞒事故。</w:t>
      </w:r>
    </w:p>
    <w:p>
      <w:pPr>
        <w:spacing w:line="360" w:lineRule="auto"/>
        <w:ind w:firstLine="472" w:firstLineChars="197"/>
        <w:rPr>
          <w:rFonts w:hAnsi="宋体"/>
          <w:sz w:val="24"/>
        </w:rPr>
      </w:pPr>
      <w:r>
        <w:rPr>
          <w:rFonts w:hint="eastAsia" w:hAnsi="宋体"/>
          <w:sz w:val="24"/>
        </w:rPr>
        <w:t>5.4根据政府相关部门下达的事故调查处理报告作出的事故结论和责任认定,追究相关单位和人员责任。</w:t>
      </w:r>
    </w:p>
    <w:p>
      <w:pPr>
        <w:spacing w:line="360" w:lineRule="auto"/>
        <w:ind w:firstLine="472" w:firstLineChars="197"/>
        <w:rPr>
          <w:rFonts w:hAnsi="宋体"/>
          <w:sz w:val="24"/>
        </w:rPr>
      </w:pPr>
      <w:r>
        <w:rPr>
          <w:rFonts w:hint="eastAsia" w:hAnsi="宋体"/>
          <w:sz w:val="24"/>
        </w:rPr>
        <w:t>5.5如凡因乙方责任造成甲方人身伤亡、货物事故、环境污染等事故损失，乙方负责承担法律及施工合同约定的经济赔偿责任。</w:t>
      </w:r>
    </w:p>
    <w:p>
      <w:pPr>
        <w:spacing w:line="360" w:lineRule="auto"/>
        <w:ind w:firstLine="472" w:firstLineChars="197"/>
        <w:rPr>
          <w:rFonts w:hAnsi="宋体"/>
          <w:sz w:val="24"/>
        </w:rPr>
      </w:pPr>
      <w:r>
        <w:rPr>
          <w:rFonts w:hint="eastAsia" w:hAnsi="宋体"/>
          <w:sz w:val="24"/>
        </w:rPr>
        <w:t>5.6如因甲方责任造成乙方人身伤害和货物损坏等损失，甲方负责承担法律及经济责任，善后处理由双方协商负责。</w:t>
      </w:r>
    </w:p>
    <w:p>
      <w:pPr>
        <w:spacing w:line="360" w:lineRule="auto"/>
        <w:ind w:firstLine="472" w:firstLineChars="197"/>
        <w:rPr>
          <w:rFonts w:hAnsi="宋体"/>
          <w:sz w:val="24"/>
        </w:rPr>
      </w:pPr>
      <w:r>
        <w:rPr>
          <w:rFonts w:hint="eastAsia" w:hAnsi="宋体"/>
          <w:sz w:val="24"/>
        </w:rPr>
        <w:t>5.7 本协议执行过程中，如发生争议，由双方协商、调解解决；若经协商、调解不能解决争议的，任何一方可以向甲方所在地人民法院提起诉讼。</w:t>
      </w:r>
    </w:p>
    <w:p>
      <w:pPr>
        <w:spacing w:line="360" w:lineRule="auto"/>
        <w:ind w:firstLine="472" w:firstLineChars="197"/>
        <w:rPr>
          <w:rFonts w:hAnsi="宋体"/>
          <w:sz w:val="24"/>
        </w:rPr>
      </w:pPr>
      <w:bookmarkStart w:id="68" w:name="_Toc22941_WPSOffice_Level1"/>
      <w:bookmarkStart w:id="69" w:name="_Toc10687_WPSOffice_Level1"/>
      <w:bookmarkStart w:id="70" w:name="_Toc24522_WPSOffice_Level1"/>
      <w:bookmarkStart w:id="71" w:name="_Toc4691_WPSOffice_Level1"/>
      <w:bookmarkStart w:id="72" w:name="_Toc10561_WPSOffice_Level1"/>
      <w:r>
        <w:rPr>
          <w:rFonts w:hint="eastAsia" w:hAnsi="宋体"/>
          <w:sz w:val="24"/>
        </w:rPr>
        <w:t>6 附则</w:t>
      </w:r>
      <w:bookmarkEnd w:id="68"/>
      <w:bookmarkEnd w:id="69"/>
      <w:bookmarkEnd w:id="70"/>
      <w:bookmarkEnd w:id="71"/>
      <w:bookmarkEnd w:id="72"/>
    </w:p>
    <w:p>
      <w:pPr>
        <w:spacing w:line="360" w:lineRule="auto"/>
        <w:ind w:firstLine="472" w:firstLineChars="197"/>
        <w:rPr>
          <w:rFonts w:hAnsi="宋体"/>
          <w:sz w:val="24"/>
        </w:rPr>
      </w:pPr>
      <w:r>
        <w:rPr>
          <w:rFonts w:hint="eastAsia" w:hAnsi="宋体"/>
          <w:sz w:val="24"/>
        </w:rPr>
        <w:t>6.1 甲乙双方必须严格执行本协议，本协议的法律效力独立于编号为：　　　　的施工合同。</w:t>
      </w:r>
    </w:p>
    <w:p>
      <w:pPr>
        <w:spacing w:line="360" w:lineRule="auto"/>
        <w:ind w:firstLine="472" w:firstLineChars="197"/>
        <w:rPr>
          <w:rFonts w:hAnsi="宋体"/>
          <w:sz w:val="24"/>
        </w:rPr>
      </w:pPr>
      <w:r>
        <w:rPr>
          <w:rFonts w:hint="eastAsia" w:hAnsi="宋体"/>
          <w:sz w:val="24"/>
        </w:rPr>
        <w:t>6.2 本协议有效期限：与编号为：　　　　的施工合同的有效期一致。</w:t>
      </w:r>
    </w:p>
    <w:p>
      <w:pPr>
        <w:spacing w:line="360" w:lineRule="auto"/>
        <w:ind w:firstLine="472" w:firstLineChars="197"/>
        <w:rPr>
          <w:rFonts w:hAnsi="宋体"/>
          <w:sz w:val="24"/>
        </w:rPr>
      </w:pPr>
      <w:r>
        <w:rPr>
          <w:rFonts w:hint="eastAsia" w:hAnsi="宋体"/>
          <w:sz w:val="24"/>
        </w:rPr>
        <w:t>6.3 本协议经双方法定代表人或委托代理人签字盖章后生效。</w:t>
      </w:r>
    </w:p>
    <w:p>
      <w:pPr>
        <w:spacing w:line="360" w:lineRule="auto"/>
        <w:ind w:firstLine="472" w:firstLineChars="197"/>
        <w:rPr>
          <w:rFonts w:hAnsi="宋体"/>
          <w:sz w:val="24"/>
        </w:rPr>
      </w:pPr>
      <w:r>
        <w:rPr>
          <w:rFonts w:hint="eastAsia" w:hAnsi="宋体"/>
          <w:sz w:val="24"/>
        </w:rPr>
        <w:t>6.4 本协议一式两份，甲乙双方各执一份。</w:t>
      </w:r>
    </w:p>
    <w:p>
      <w:pPr>
        <w:spacing w:line="360" w:lineRule="auto"/>
        <w:ind w:firstLine="472" w:firstLineChars="197"/>
        <w:rPr>
          <w:rFonts w:hAnsi="宋体"/>
          <w:sz w:val="24"/>
        </w:rPr>
      </w:pPr>
      <w:r>
        <w:rPr>
          <w:rFonts w:hint="eastAsia" w:hAnsi="宋体"/>
          <w:sz w:val="24"/>
        </w:rPr>
        <w:t>6.5 本协议签订地点在甲方住所地。</w:t>
      </w:r>
    </w:p>
    <w:p>
      <w:pPr>
        <w:spacing w:line="360" w:lineRule="auto"/>
        <w:ind w:firstLine="472" w:firstLineChars="197"/>
        <w:rPr>
          <w:rFonts w:hAnsi="宋体"/>
          <w:sz w:val="24"/>
        </w:rPr>
      </w:pPr>
      <w:r>
        <w:rPr>
          <w:rFonts w:hint="eastAsia" w:hAnsi="宋体"/>
          <w:sz w:val="24"/>
        </w:rPr>
        <w:t>6.6外包安全施工考核内容与标准表为本协议附录。</w:t>
      </w:r>
    </w:p>
    <w:p>
      <w:pPr>
        <w:spacing w:line="360" w:lineRule="auto"/>
        <w:ind w:firstLine="472" w:firstLineChars="197"/>
        <w:rPr>
          <w:rFonts w:hAnsi="宋体"/>
          <w:sz w:val="24"/>
        </w:rPr>
      </w:pPr>
    </w:p>
    <w:p>
      <w:pPr>
        <w:spacing w:line="360" w:lineRule="auto"/>
        <w:ind w:firstLine="472" w:firstLineChars="197"/>
        <w:rPr>
          <w:rFonts w:hAnsi="宋体"/>
          <w:sz w:val="24"/>
        </w:rPr>
      </w:pPr>
      <w:r>
        <w:rPr>
          <w:rFonts w:hint="eastAsia" w:hAnsi="宋体"/>
          <w:sz w:val="24"/>
        </w:rPr>
        <w:t>甲方（盖章）：                         乙方（盖章）：</w:t>
      </w:r>
    </w:p>
    <w:p>
      <w:pPr>
        <w:spacing w:line="360" w:lineRule="auto"/>
        <w:ind w:firstLine="472" w:firstLineChars="197"/>
        <w:rPr>
          <w:rFonts w:hAnsi="宋体"/>
          <w:sz w:val="24"/>
        </w:rPr>
      </w:pPr>
    </w:p>
    <w:p>
      <w:pPr>
        <w:spacing w:line="360" w:lineRule="auto"/>
        <w:ind w:firstLine="472" w:firstLineChars="197"/>
        <w:rPr>
          <w:rFonts w:hAnsi="宋体"/>
          <w:sz w:val="24"/>
        </w:rPr>
      </w:pPr>
      <w:r>
        <w:rPr>
          <w:rFonts w:hint="eastAsia" w:hAnsi="宋体"/>
          <w:sz w:val="24"/>
        </w:rPr>
        <w:t>法定代表人：                          法定代表人：</w:t>
      </w:r>
    </w:p>
    <w:p>
      <w:pPr>
        <w:spacing w:line="360" w:lineRule="auto"/>
        <w:ind w:firstLine="472" w:firstLineChars="197"/>
        <w:rPr>
          <w:rFonts w:hAnsi="宋体"/>
          <w:sz w:val="24"/>
        </w:rPr>
      </w:pPr>
    </w:p>
    <w:p>
      <w:pPr>
        <w:spacing w:line="360" w:lineRule="auto"/>
        <w:ind w:firstLine="472" w:firstLineChars="197"/>
        <w:rPr>
          <w:rFonts w:hAnsi="宋体"/>
          <w:sz w:val="24"/>
        </w:rPr>
      </w:pPr>
      <w:r>
        <w:rPr>
          <w:rFonts w:hint="eastAsia" w:hAnsi="宋体"/>
          <w:sz w:val="24"/>
        </w:rPr>
        <w:t>（委托代理人）：                       （委托代理人）：</w:t>
      </w:r>
    </w:p>
    <w:p>
      <w:pPr>
        <w:spacing w:line="360" w:lineRule="auto"/>
        <w:ind w:firstLine="472" w:firstLineChars="197"/>
        <w:rPr>
          <w:rFonts w:hAnsi="宋体"/>
          <w:sz w:val="24"/>
        </w:rPr>
      </w:pPr>
    </w:p>
    <w:p>
      <w:pPr>
        <w:spacing w:line="360" w:lineRule="auto"/>
        <w:ind w:firstLine="472" w:firstLineChars="197"/>
        <w:rPr>
          <w:rFonts w:hAnsi="宋体"/>
          <w:sz w:val="24"/>
        </w:rPr>
      </w:pPr>
      <w:r>
        <w:rPr>
          <w:rFonts w:hint="eastAsia" w:hAnsi="宋体"/>
          <w:sz w:val="24"/>
        </w:rPr>
        <w:t xml:space="preserve">联 系 电 话：                         联 系 电 话：                       </w:t>
      </w:r>
    </w:p>
    <w:p>
      <w:pPr>
        <w:spacing w:line="360" w:lineRule="auto"/>
        <w:ind w:firstLine="472" w:firstLineChars="197"/>
        <w:rPr>
          <w:rFonts w:hAnsi="宋体"/>
          <w:sz w:val="24"/>
        </w:rPr>
      </w:pPr>
    </w:p>
    <w:p>
      <w:pPr>
        <w:spacing w:line="360" w:lineRule="auto"/>
        <w:ind w:firstLine="472" w:firstLineChars="197"/>
        <w:rPr>
          <w:rFonts w:hAnsi="宋体"/>
          <w:sz w:val="24"/>
        </w:rPr>
      </w:pPr>
      <w:r>
        <w:rPr>
          <w:rFonts w:hint="eastAsia" w:hAnsi="宋体"/>
          <w:sz w:val="24"/>
        </w:rPr>
        <w:t xml:space="preserve"> 年　 月 　日                          年　 月 　日</w:t>
      </w:r>
    </w:p>
    <w:p>
      <w:pPr>
        <w:adjustRightInd w:val="0"/>
        <w:snapToGrid w:val="0"/>
        <w:spacing w:line="360" w:lineRule="auto"/>
        <w:rPr>
          <w:rFonts w:ascii="仿宋" w:hAnsi="仿宋" w:eastAsia="仿宋"/>
          <w:bCs/>
          <w:color w:val="000000"/>
          <w:sz w:val="28"/>
          <w:szCs w:val="28"/>
        </w:rPr>
      </w:pPr>
    </w:p>
    <w:p>
      <w:pPr>
        <w:adjustRightInd w:val="0"/>
        <w:snapToGrid w:val="0"/>
        <w:spacing w:line="360" w:lineRule="auto"/>
        <w:rPr>
          <w:rFonts w:ascii="仿宋" w:hAnsi="仿宋" w:eastAsia="仿宋"/>
          <w:bCs/>
          <w:color w:val="000000"/>
          <w:sz w:val="28"/>
          <w:szCs w:val="28"/>
        </w:rPr>
      </w:pPr>
    </w:p>
    <w:p>
      <w:pPr>
        <w:adjustRightInd w:val="0"/>
        <w:snapToGrid w:val="0"/>
        <w:spacing w:line="360" w:lineRule="auto"/>
        <w:rPr>
          <w:rFonts w:ascii="仿宋" w:hAnsi="仿宋" w:eastAsia="仿宋"/>
          <w:bCs/>
          <w:color w:val="000000"/>
          <w:sz w:val="28"/>
          <w:szCs w:val="28"/>
        </w:rPr>
      </w:pPr>
    </w:p>
    <w:p>
      <w:pPr>
        <w:adjustRightInd w:val="0"/>
        <w:snapToGrid w:val="0"/>
        <w:spacing w:line="360" w:lineRule="auto"/>
        <w:jc w:val="center"/>
        <w:rPr>
          <w:rFonts w:ascii="宋体" w:hAnsi="宋体"/>
          <w:b/>
          <w:bCs/>
          <w:sz w:val="28"/>
        </w:rPr>
      </w:pPr>
    </w:p>
    <w:p>
      <w:pPr>
        <w:adjustRightInd w:val="0"/>
        <w:snapToGrid w:val="0"/>
        <w:spacing w:line="360" w:lineRule="auto"/>
        <w:jc w:val="center"/>
        <w:rPr>
          <w:rFonts w:ascii="宋体" w:hAnsi="宋体"/>
          <w:b/>
          <w:bCs/>
          <w:sz w:val="28"/>
        </w:rPr>
      </w:pPr>
    </w:p>
    <w:p>
      <w:pPr>
        <w:adjustRightInd w:val="0"/>
        <w:snapToGrid w:val="0"/>
        <w:spacing w:line="360" w:lineRule="auto"/>
        <w:jc w:val="center"/>
        <w:rPr>
          <w:rFonts w:ascii="宋体" w:hAnsi="宋体"/>
          <w:b/>
          <w:bCs/>
          <w:sz w:val="28"/>
        </w:rPr>
      </w:pPr>
    </w:p>
    <w:p>
      <w:pPr>
        <w:adjustRightInd w:val="0"/>
        <w:snapToGrid w:val="0"/>
        <w:spacing w:line="360" w:lineRule="auto"/>
        <w:jc w:val="center"/>
        <w:rPr>
          <w:rFonts w:ascii="宋体" w:hAnsi="宋体"/>
          <w:b/>
          <w:bCs/>
          <w:sz w:val="28"/>
        </w:rPr>
      </w:pPr>
    </w:p>
    <w:p>
      <w:pPr>
        <w:adjustRightInd w:val="0"/>
        <w:snapToGrid w:val="0"/>
        <w:spacing w:line="360" w:lineRule="auto"/>
        <w:jc w:val="center"/>
        <w:rPr>
          <w:rFonts w:ascii="宋体" w:hAnsi="宋体"/>
          <w:b/>
          <w:bCs/>
          <w:sz w:val="28"/>
        </w:rPr>
      </w:pPr>
    </w:p>
    <w:bookmarkEnd w:id="29"/>
    <w:p>
      <w:pPr>
        <w:pStyle w:val="5"/>
        <w:jc w:val="center"/>
        <w:rPr>
          <w:rFonts w:eastAsia="仿宋_GB2312"/>
          <w:b/>
          <w:bCs/>
          <w:sz w:val="32"/>
        </w:rPr>
      </w:pPr>
      <w:r>
        <w:rPr>
          <w:rFonts w:hAnsi="宋体" w:cs="宋体"/>
          <w:kern w:val="0"/>
          <w:sz w:val="32"/>
          <w:szCs w:val="32"/>
        </w:rPr>
        <w:br w:type="page"/>
      </w:r>
      <w:bookmarkStart w:id="73" w:name="_Toc498611430"/>
      <w:bookmarkStart w:id="74" w:name="_Toc48722666"/>
      <w:r>
        <w:rPr>
          <w:rFonts w:hint="eastAsia" w:eastAsia="仿宋_GB2312"/>
          <w:b/>
          <w:bCs/>
          <w:sz w:val="32"/>
        </w:rPr>
        <w:t>第四章响应文件格式</w:t>
      </w:r>
      <w:bookmarkEnd w:id="27"/>
      <w:bookmarkEnd w:id="28"/>
      <w:bookmarkEnd w:id="73"/>
      <w:bookmarkEnd w:id="74"/>
    </w:p>
    <w:p>
      <w:pPr>
        <w:pStyle w:val="5"/>
        <w:jc w:val="center"/>
        <w:rPr>
          <w:rFonts w:ascii="仿宋_GB2312" w:eastAsia="仿宋_GB2312"/>
          <w:b/>
          <w:sz w:val="32"/>
          <w:szCs w:val="32"/>
        </w:rPr>
      </w:pPr>
    </w:p>
    <w:p>
      <w:pPr>
        <w:pStyle w:val="5"/>
        <w:jc w:val="center"/>
        <w:rPr>
          <w:rFonts w:ascii="仿宋_GB2312" w:eastAsia="仿宋_GB2312"/>
          <w:b/>
          <w:sz w:val="32"/>
          <w:szCs w:val="32"/>
        </w:rPr>
      </w:pPr>
    </w:p>
    <w:p>
      <w:pPr>
        <w:pStyle w:val="5"/>
        <w:jc w:val="center"/>
        <w:rPr>
          <w:rFonts w:ascii="仿宋_GB2312" w:eastAsia="仿宋_GB2312"/>
          <w:b/>
          <w:sz w:val="32"/>
          <w:szCs w:val="32"/>
        </w:rPr>
      </w:pPr>
    </w:p>
    <w:p>
      <w:pPr>
        <w:pStyle w:val="5"/>
        <w:rPr>
          <w:rFonts w:ascii="仿宋_GB2312" w:eastAsia="仿宋_GB2312"/>
          <w:b/>
          <w:sz w:val="32"/>
          <w:szCs w:val="32"/>
        </w:rPr>
      </w:pPr>
    </w:p>
    <w:p>
      <w:pPr>
        <w:jc w:val="center"/>
        <w:rPr>
          <w:rFonts w:ascii="宋体" w:hAnsi="宋体"/>
          <w:sz w:val="84"/>
          <w:szCs w:val="84"/>
        </w:rPr>
      </w:pPr>
      <w:r>
        <w:rPr>
          <w:rFonts w:hint="eastAsia" w:ascii="宋体" w:hAnsi="宋体"/>
          <w:sz w:val="84"/>
          <w:szCs w:val="84"/>
        </w:rPr>
        <w:t>磋商响应文件</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8"/>
          <w:u w:val="single"/>
        </w:rPr>
      </w:pPr>
      <w:r>
        <w:rPr>
          <w:rFonts w:hint="eastAsia" w:ascii="宋体" w:hAnsi="宋体"/>
          <w:sz w:val="28"/>
        </w:rPr>
        <w:t xml:space="preserve">               项目名称： </w:t>
      </w:r>
    </w:p>
    <w:p>
      <w:pPr>
        <w:rPr>
          <w:rFonts w:ascii="宋体" w:hAnsi="宋体"/>
          <w:sz w:val="28"/>
          <w:u w:val="single"/>
        </w:rPr>
      </w:pPr>
    </w:p>
    <w:p>
      <w:pPr>
        <w:rPr>
          <w:rFonts w:ascii="宋体" w:hAnsi="宋体"/>
          <w:sz w:val="28"/>
          <w:u w:val="single"/>
        </w:rPr>
      </w:pPr>
    </w:p>
    <w:p>
      <w:pPr>
        <w:rPr>
          <w:rFonts w:ascii="宋体" w:hAnsi="宋体"/>
          <w:sz w:val="28"/>
          <w:u w:val="single"/>
        </w:rPr>
      </w:pPr>
      <w:r>
        <w:rPr>
          <w:rFonts w:hint="eastAsia" w:ascii="宋体" w:hAnsi="宋体"/>
          <w:sz w:val="28"/>
        </w:rPr>
        <w:t xml:space="preserve">               项目编号： </w:t>
      </w:r>
    </w:p>
    <w:p>
      <w:pPr>
        <w:rPr>
          <w:rFonts w:ascii="宋体" w:hAnsi="宋体"/>
          <w:sz w:val="28"/>
          <w:u w:val="single"/>
        </w:rPr>
      </w:pPr>
    </w:p>
    <w:p>
      <w:pPr>
        <w:rPr>
          <w:rFonts w:ascii="宋体" w:hAnsi="宋体"/>
          <w:sz w:val="28"/>
          <w:u w:val="single"/>
        </w:rPr>
      </w:pPr>
    </w:p>
    <w:p>
      <w:pPr>
        <w:rPr>
          <w:rFonts w:ascii="宋体" w:hAnsi="宋体"/>
          <w:sz w:val="28"/>
          <w:u w:val="single"/>
        </w:rPr>
      </w:pPr>
    </w:p>
    <w:p>
      <w:pPr>
        <w:rPr>
          <w:rFonts w:ascii="宋体" w:hAnsi="宋体"/>
          <w:sz w:val="28"/>
          <w:u w:val="single"/>
        </w:rPr>
      </w:pPr>
    </w:p>
    <w:p>
      <w:pPr>
        <w:rPr>
          <w:rFonts w:ascii="宋体" w:hAnsi="宋体"/>
          <w:sz w:val="28"/>
          <w:u w:val="single"/>
        </w:rPr>
      </w:pPr>
    </w:p>
    <w:p>
      <w:pPr>
        <w:rPr>
          <w:rFonts w:ascii="宋体" w:hAnsi="宋体"/>
          <w:sz w:val="28"/>
          <w:u w:val="single"/>
        </w:rPr>
      </w:pPr>
    </w:p>
    <w:p>
      <w:pPr>
        <w:rPr>
          <w:rFonts w:ascii="宋体" w:hAnsi="宋体"/>
          <w:sz w:val="28"/>
          <w:u w:val="single"/>
        </w:rPr>
      </w:pPr>
    </w:p>
    <w:p>
      <w:pPr>
        <w:rPr>
          <w:rFonts w:ascii="宋体" w:hAnsi="宋体"/>
          <w:sz w:val="28"/>
          <w:u w:val="single"/>
        </w:rPr>
      </w:pPr>
    </w:p>
    <w:p>
      <w:pPr>
        <w:rPr>
          <w:rFonts w:ascii="宋体" w:hAnsi="宋体"/>
          <w:sz w:val="28"/>
          <w:u w:val="single"/>
        </w:rPr>
      </w:pPr>
    </w:p>
    <w:p>
      <w:pPr>
        <w:jc w:val="center"/>
        <w:rPr>
          <w:rFonts w:ascii="宋体" w:hAnsi="宋体"/>
          <w:sz w:val="28"/>
        </w:rPr>
      </w:pPr>
    </w:p>
    <w:p>
      <w:pPr>
        <w:jc w:val="center"/>
        <w:rPr>
          <w:rFonts w:ascii="宋体" w:hAnsi="宋体"/>
          <w:sz w:val="28"/>
        </w:rPr>
      </w:pPr>
      <w:r>
        <w:rPr>
          <w:rFonts w:hint="eastAsia" w:ascii="宋体" w:hAnsi="宋体"/>
          <w:sz w:val="28"/>
        </w:rPr>
        <w:t>单位（</w:t>
      </w:r>
      <w:r>
        <w:rPr>
          <w:rFonts w:hint="eastAsia" w:ascii="宋体" w:hAnsi="宋体"/>
          <w:sz w:val="24"/>
        </w:rPr>
        <w:t>签章</w:t>
      </w:r>
      <w:r>
        <w:rPr>
          <w:rFonts w:hint="eastAsia" w:ascii="宋体" w:hAnsi="宋体"/>
          <w:sz w:val="28"/>
        </w:rPr>
        <w:t>）</w:t>
      </w:r>
    </w:p>
    <w:p>
      <w:pPr>
        <w:jc w:val="center"/>
        <w:rPr>
          <w:rFonts w:ascii="宋体" w:hAnsi="宋体"/>
          <w:sz w:val="28"/>
        </w:rPr>
      </w:pPr>
    </w:p>
    <w:p>
      <w:pPr>
        <w:jc w:val="center"/>
        <w:rPr>
          <w:rFonts w:ascii="宋体" w:hAnsi="宋体"/>
          <w:w w:val="80"/>
          <w:sz w:val="36"/>
        </w:rPr>
        <w:sectPr>
          <w:headerReference r:id="rId3" w:type="default"/>
          <w:footerReference r:id="rId4" w:type="default"/>
          <w:footerReference r:id="rId5" w:type="even"/>
          <w:pgSz w:w="11907" w:h="16840"/>
          <w:pgMar w:top="1474" w:right="850" w:bottom="1474" w:left="1134" w:header="720" w:footer="500" w:gutter="0"/>
          <w:pgNumType w:start="0"/>
          <w:cols w:space="720" w:num="1"/>
          <w:titlePg/>
          <w:docGrid w:linePitch="285" w:charSpace="0"/>
        </w:sectPr>
      </w:pPr>
      <w:r>
        <w:rPr>
          <w:rFonts w:hint="eastAsia" w:ascii="宋体" w:hAnsi="宋体"/>
          <w:sz w:val="28"/>
        </w:rPr>
        <w:t xml:space="preserve">    年   月   日</w:t>
      </w:r>
    </w:p>
    <w:p>
      <w:pPr>
        <w:pStyle w:val="6"/>
        <w:spacing w:before="0" w:after="0" w:line="460" w:lineRule="exact"/>
        <w:jc w:val="center"/>
        <w:rPr>
          <w:rFonts w:ascii="宋体" w:hAnsi="宋体" w:eastAsia="宋体"/>
          <w:sz w:val="30"/>
          <w:szCs w:val="30"/>
        </w:rPr>
      </w:pPr>
      <w:bookmarkStart w:id="75" w:name="_Toc48722667"/>
      <w:bookmarkStart w:id="76" w:name="_Toc498611431"/>
      <w:r>
        <w:rPr>
          <w:rFonts w:hint="eastAsia" w:ascii="宋体" w:hAnsi="宋体" w:eastAsia="宋体"/>
          <w:sz w:val="30"/>
          <w:szCs w:val="30"/>
        </w:rPr>
        <w:t>格式1. 磋商响应书</w:t>
      </w:r>
      <w:bookmarkEnd w:id="75"/>
      <w:bookmarkEnd w:id="76"/>
    </w:p>
    <w:p>
      <w:pPr>
        <w:spacing w:line="400" w:lineRule="exact"/>
        <w:rPr>
          <w:rFonts w:ascii="宋体" w:hAnsi="宋体"/>
          <w:sz w:val="24"/>
        </w:rPr>
      </w:pPr>
      <w:r>
        <w:rPr>
          <w:rFonts w:hint="eastAsia" w:ascii="宋体" w:hAnsi="宋体"/>
          <w:sz w:val="24"/>
        </w:rPr>
        <w:t>致：南昌大学附属口腔医院</w:t>
      </w:r>
    </w:p>
    <w:p>
      <w:pPr>
        <w:spacing w:line="400" w:lineRule="exact"/>
        <w:ind w:firstLine="480"/>
        <w:rPr>
          <w:rFonts w:ascii="宋体" w:hAnsi="宋体"/>
          <w:sz w:val="24"/>
        </w:rPr>
      </w:pPr>
      <w:r>
        <w:rPr>
          <w:rFonts w:hint="eastAsia" w:ascii="宋体" w:hAnsi="宋体"/>
          <w:sz w:val="24"/>
        </w:rPr>
        <w:t>根据贵方为</w:t>
      </w:r>
      <w:r>
        <w:rPr>
          <w:rFonts w:ascii="宋体" w:hAnsi="宋体"/>
          <w:i/>
          <w:sz w:val="24"/>
        </w:rPr>
        <w:t>(</w:t>
      </w:r>
      <w:r>
        <w:rPr>
          <w:rFonts w:hint="eastAsia" w:ascii="宋体" w:hAnsi="宋体"/>
          <w:i/>
          <w:sz w:val="24"/>
          <w:u w:val="single"/>
        </w:rPr>
        <w:t>项目名称</w:t>
      </w:r>
      <w:r>
        <w:rPr>
          <w:rFonts w:ascii="宋体" w:hAnsi="宋体"/>
          <w:i/>
          <w:sz w:val="24"/>
        </w:rPr>
        <w:t>)</w:t>
      </w:r>
      <w:r>
        <w:rPr>
          <w:rFonts w:hint="eastAsia" w:ascii="宋体" w:hAnsi="宋体"/>
          <w:sz w:val="24"/>
        </w:rPr>
        <w:t>项目磋商采购相关服务的磋商邀请</w:t>
      </w:r>
      <w:r>
        <w:rPr>
          <w:rFonts w:hint="eastAsia" w:ascii="宋体" w:hAnsi="宋体"/>
          <w:i/>
          <w:sz w:val="24"/>
          <w:u w:val="single"/>
        </w:rPr>
        <w:t>(项目编号</w:t>
      </w:r>
      <w:r>
        <w:rPr>
          <w:rFonts w:ascii="宋体" w:hAnsi="宋体"/>
          <w:i/>
          <w:sz w:val="24"/>
          <w:u w:val="single"/>
        </w:rPr>
        <w:t>)</w:t>
      </w:r>
      <w:r>
        <w:rPr>
          <w:rFonts w:hint="eastAsia" w:ascii="宋体" w:hAnsi="宋体"/>
          <w:sz w:val="24"/>
        </w:rPr>
        <w:t>，签字代表</w:t>
      </w:r>
      <w:r>
        <w:rPr>
          <w:rFonts w:ascii="宋体" w:hAnsi="宋体"/>
          <w:i/>
          <w:sz w:val="24"/>
        </w:rPr>
        <w:t>(</w:t>
      </w:r>
      <w:r>
        <w:rPr>
          <w:rFonts w:hint="eastAsia" w:ascii="宋体" w:hAnsi="宋体"/>
          <w:i/>
          <w:sz w:val="24"/>
          <w:u w:val="single"/>
        </w:rPr>
        <w:t>姓名、职务</w:t>
      </w:r>
      <w:r>
        <w:rPr>
          <w:rFonts w:ascii="宋体" w:hAnsi="宋体"/>
          <w:i/>
          <w:sz w:val="24"/>
        </w:rPr>
        <w:t>)</w:t>
      </w:r>
      <w:r>
        <w:rPr>
          <w:rFonts w:hint="eastAsia" w:ascii="宋体" w:hAnsi="宋体"/>
          <w:sz w:val="24"/>
        </w:rPr>
        <w:t>经正式授权并代表我方</w:t>
      </w:r>
      <w:r>
        <w:rPr>
          <w:rFonts w:ascii="宋体" w:hAnsi="宋体"/>
          <w:i/>
          <w:sz w:val="24"/>
          <w:u w:val="single"/>
        </w:rPr>
        <w:t>(</w:t>
      </w:r>
      <w:r>
        <w:rPr>
          <w:rFonts w:hint="eastAsia" w:ascii="宋体" w:hAnsi="宋体"/>
          <w:i/>
          <w:sz w:val="24"/>
          <w:u w:val="single"/>
        </w:rPr>
        <w:t>单位名称、地址)</w:t>
      </w:r>
      <w:r>
        <w:rPr>
          <w:rFonts w:hint="eastAsia" w:ascii="宋体" w:hAnsi="宋体"/>
          <w:sz w:val="24"/>
        </w:rPr>
        <w:t>提交下述文件正本一份及副本一份</w:t>
      </w:r>
      <w:r>
        <w:rPr>
          <w:rFonts w:ascii="宋体" w:hAnsi="宋体"/>
          <w:sz w:val="24"/>
        </w:rPr>
        <w:t>:</w:t>
      </w:r>
    </w:p>
    <w:p>
      <w:pPr>
        <w:spacing w:line="400" w:lineRule="exact"/>
        <w:ind w:left="707" w:hanging="283"/>
        <w:rPr>
          <w:rFonts w:ascii="宋体" w:hAnsi="宋体"/>
          <w:sz w:val="24"/>
        </w:rPr>
      </w:pPr>
      <w:r>
        <w:rPr>
          <w:rFonts w:ascii="宋体" w:hAnsi="宋体"/>
          <w:sz w:val="24"/>
        </w:rPr>
        <w:t>1.</w:t>
      </w:r>
      <w:r>
        <w:rPr>
          <w:rFonts w:hint="eastAsia" w:ascii="宋体" w:hAnsi="宋体"/>
          <w:sz w:val="24"/>
        </w:rPr>
        <w:t xml:space="preserve"> 报价表</w:t>
      </w:r>
    </w:p>
    <w:p>
      <w:pPr>
        <w:spacing w:line="400" w:lineRule="exact"/>
        <w:ind w:left="707" w:hanging="283"/>
        <w:rPr>
          <w:rFonts w:ascii="宋体" w:hAnsi="宋体"/>
          <w:sz w:val="24"/>
        </w:rPr>
      </w:pPr>
      <w:r>
        <w:rPr>
          <w:rFonts w:ascii="宋体" w:hAnsi="宋体"/>
          <w:sz w:val="24"/>
        </w:rPr>
        <w:t>2.</w:t>
      </w:r>
      <w:r>
        <w:rPr>
          <w:rFonts w:hint="eastAsia" w:ascii="宋体" w:hAnsi="宋体"/>
          <w:sz w:val="24"/>
        </w:rPr>
        <w:t xml:space="preserve"> 分项报价表</w:t>
      </w:r>
    </w:p>
    <w:p>
      <w:pPr>
        <w:spacing w:line="380" w:lineRule="exact"/>
        <w:ind w:left="707" w:hanging="283"/>
        <w:rPr>
          <w:rFonts w:ascii="宋体" w:hAnsi="宋体"/>
          <w:sz w:val="24"/>
        </w:rPr>
      </w:pPr>
      <w:r>
        <w:rPr>
          <w:rFonts w:ascii="宋体" w:hAnsi="宋体"/>
          <w:sz w:val="24"/>
        </w:rPr>
        <w:t>3.</w:t>
      </w:r>
      <w:r>
        <w:rPr>
          <w:rFonts w:hint="eastAsia" w:ascii="宋体" w:hAnsi="宋体"/>
          <w:sz w:val="24"/>
        </w:rPr>
        <w:t>服务要求响应/偏离表</w:t>
      </w:r>
    </w:p>
    <w:p>
      <w:pPr>
        <w:spacing w:line="400" w:lineRule="exact"/>
        <w:ind w:left="707" w:hanging="283"/>
        <w:rPr>
          <w:rFonts w:ascii="宋体" w:hAnsi="宋体"/>
          <w:sz w:val="24"/>
        </w:rPr>
      </w:pPr>
      <w:r>
        <w:rPr>
          <w:rFonts w:ascii="宋体" w:hAnsi="宋体"/>
          <w:sz w:val="24"/>
        </w:rPr>
        <w:t>4.</w:t>
      </w:r>
      <w:r>
        <w:rPr>
          <w:rFonts w:hint="eastAsia" w:ascii="宋体" w:hAnsi="宋体"/>
          <w:sz w:val="24"/>
        </w:rPr>
        <w:t>商务条款响应/偏离表</w:t>
      </w:r>
    </w:p>
    <w:p>
      <w:pPr>
        <w:spacing w:line="400" w:lineRule="exact"/>
        <w:ind w:left="707" w:hanging="283"/>
        <w:rPr>
          <w:rFonts w:ascii="宋体" w:hAnsi="宋体"/>
          <w:sz w:val="24"/>
        </w:rPr>
      </w:pPr>
      <w:r>
        <w:rPr>
          <w:rFonts w:ascii="宋体" w:hAnsi="宋体"/>
          <w:sz w:val="24"/>
        </w:rPr>
        <w:t>5.</w:t>
      </w:r>
      <w:r>
        <w:rPr>
          <w:rFonts w:hint="eastAsia" w:ascii="宋体" w:hAnsi="宋体"/>
          <w:sz w:val="24"/>
        </w:rPr>
        <w:t xml:space="preserve"> 按磋商文件供应商须知和服务要求提供的有关文件</w:t>
      </w:r>
    </w:p>
    <w:p>
      <w:pPr>
        <w:spacing w:line="400" w:lineRule="exact"/>
        <w:ind w:left="707" w:hanging="283"/>
        <w:rPr>
          <w:rFonts w:ascii="宋体" w:hAnsi="宋体"/>
          <w:sz w:val="24"/>
        </w:rPr>
      </w:pPr>
      <w:r>
        <w:rPr>
          <w:rFonts w:ascii="宋体" w:hAnsi="宋体"/>
          <w:sz w:val="24"/>
        </w:rPr>
        <w:t xml:space="preserve">6. </w:t>
      </w:r>
      <w:r>
        <w:rPr>
          <w:rFonts w:hint="eastAsia" w:ascii="宋体" w:hAnsi="宋体"/>
          <w:sz w:val="24"/>
        </w:rPr>
        <w:t>资格证明文件</w:t>
      </w:r>
    </w:p>
    <w:p>
      <w:pPr>
        <w:spacing w:line="400" w:lineRule="exact"/>
        <w:ind w:left="707" w:hanging="283"/>
        <w:rPr>
          <w:rFonts w:ascii="宋体" w:hAnsi="宋体"/>
          <w:sz w:val="24"/>
        </w:rPr>
      </w:pPr>
      <w:r>
        <w:rPr>
          <w:rFonts w:hint="eastAsia" w:ascii="宋体" w:hAnsi="宋体"/>
          <w:sz w:val="24"/>
        </w:rPr>
        <w:t>据此函</w:t>
      </w:r>
      <w:r>
        <w:rPr>
          <w:rFonts w:ascii="宋体" w:hAnsi="宋体"/>
          <w:sz w:val="24"/>
        </w:rPr>
        <w:t>,</w:t>
      </w:r>
      <w:r>
        <w:rPr>
          <w:rFonts w:hint="eastAsia" w:ascii="宋体" w:hAnsi="宋体"/>
          <w:sz w:val="24"/>
        </w:rPr>
        <w:t>签字代表宣布同意如下</w:t>
      </w:r>
      <w:r>
        <w:rPr>
          <w:rFonts w:ascii="宋体" w:hAnsi="宋体"/>
          <w:sz w:val="24"/>
        </w:rPr>
        <w:t>:</w:t>
      </w:r>
    </w:p>
    <w:p>
      <w:pPr>
        <w:spacing w:line="400" w:lineRule="exact"/>
        <w:ind w:left="707" w:hanging="283"/>
        <w:rPr>
          <w:rFonts w:ascii="宋体" w:hAnsi="宋体"/>
          <w:sz w:val="24"/>
        </w:rPr>
      </w:pPr>
      <w:r>
        <w:rPr>
          <w:rFonts w:ascii="宋体" w:hAnsi="宋体"/>
          <w:sz w:val="24"/>
        </w:rPr>
        <w:t>1.</w:t>
      </w:r>
      <w:r>
        <w:rPr>
          <w:rFonts w:hint="eastAsia" w:ascii="宋体" w:hAnsi="宋体"/>
          <w:sz w:val="24"/>
        </w:rPr>
        <w:t xml:space="preserve"> 所附报价表中规定的应提供的服务总报价为（用文字和数字表示的总价</w:t>
      </w:r>
      <w:r>
        <w:rPr>
          <w:rFonts w:ascii="宋体" w:hAnsi="宋体"/>
          <w:sz w:val="24"/>
        </w:rPr>
        <w:t>）</w:t>
      </w:r>
      <w:r>
        <w:rPr>
          <w:rFonts w:hint="eastAsia" w:ascii="宋体" w:hAnsi="宋体"/>
          <w:sz w:val="24"/>
        </w:rPr>
        <w:t>。</w:t>
      </w:r>
    </w:p>
    <w:p>
      <w:pPr>
        <w:spacing w:line="400" w:lineRule="exact"/>
        <w:ind w:left="707" w:hanging="283"/>
        <w:rPr>
          <w:rFonts w:ascii="宋体" w:hAnsi="宋体"/>
          <w:sz w:val="24"/>
        </w:rPr>
      </w:pPr>
      <w:r>
        <w:rPr>
          <w:rFonts w:ascii="宋体" w:hAnsi="宋体"/>
          <w:sz w:val="24"/>
        </w:rPr>
        <w:t>2.</w:t>
      </w:r>
      <w:r>
        <w:rPr>
          <w:rFonts w:hint="eastAsia" w:ascii="宋体" w:hAnsi="宋体"/>
          <w:sz w:val="24"/>
        </w:rPr>
        <w:t xml:space="preserve"> 我方将按磋商文件的规定履行合同责任和义务。</w:t>
      </w:r>
    </w:p>
    <w:p>
      <w:pPr>
        <w:spacing w:line="400" w:lineRule="exact"/>
        <w:ind w:left="707" w:hanging="283"/>
        <w:rPr>
          <w:rFonts w:ascii="宋体" w:hAnsi="宋体"/>
          <w:sz w:val="24"/>
        </w:rPr>
      </w:pPr>
      <w:r>
        <w:rPr>
          <w:rFonts w:ascii="宋体" w:hAnsi="宋体"/>
          <w:sz w:val="24"/>
        </w:rPr>
        <w:t>3.</w:t>
      </w:r>
      <w:r>
        <w:rPr>
          <w:rFonts w:hint="eastAsia" w:ascii="宋体" w:hAnsi="宋体"/>
          <w:sz w:val="24"/>
        </w:rPr>
        <w:t xml:space="preserve"> 我方已详细审查全部磋商文件，包括第</w:t>
      </w:r>
      <w:r>
        <w:rPr>
          <w:rFonts w:ascii="宋体" w:hAnsi="宋体"/>
          <w:sz w:val="24"/>
          <w:u w:val="single"/>
        </w:rPr>
        <w:t>(</w:t>
      </w:r>
      <w:r>
        <w:rPr>
          <w:rFonts w:hint="eastAsia" w:ascii="宋体" w:hAnsi="宋体"/>
          <w:sz w:val="24"/>
          <w:u w:val="single"/>
        </w:rPr>
        <w:t>编号、补遗函</w:t>
      </w:r>
      <w:r>
        <w:rPr>
          <w:rFonts w:ascii="宋体" w:hAnsi="宋体"/>
          <w:sz w:val="24"/>
          <w:u w:val="single"/>
        </w:rPr>
        <w:t>)(</w:t>
      </w:r>
      <w:r>
        <w:rPr>
          <w:rFonts w:hint="eastAsia" w:ascii="宋体" w:hAnsi="宋体"/>
          <w:sz w:val="24"/>
          <w:u w:val="single"/>
        </w:rPr>
        <w:t>如果有的话</w:t>
      </w:r>
      <w:r>
        <w:rPr>
          <w:rFonts w:ascii="宋体" w:hAnsi="宋体"/>
          <w:sz w:val="24"/>
          <w:u w:val="single"/>
        </w:rPr>
        <w:t>)</w:t>
      </w:r>
      <w:r>
        <w:rPr>
          <w:rFonts w:hint="eastAsia" w:ascii="宋体" w:hAnsi="宋体"/>
          <w:sz w:val="24"/>
          <w:u w:val="single"/>
        </w:rPr>
        <w:t>。</w:t>
      </w:r>
      <w:r>
        <w:rPr>
          <w:rFonts w:hint="eastAsia" w:ascii="宋体" w:hAnsi="宋体"/>
          <w:sz w:val="24"/>
        </w:rPr>
        <w:t>我们完全理解并同意放弃对这方面有不明及误解的权力。</w:t>
      </w:r>
    </w:p>
    <w:p>
      <w:pPr>
        <w:spacing w:line="400" w:lineRule="exact"/>
        <w:ind w:left="707" w:hanging="283"/>
        <w:rPr>
          <w:rFonts w:ascii="宋体" w:hAnsi="宋体"/>
          <w:sz w:val="24"/>
        </w:rPr>
      </w:pPr>
      <w:r>
        <w:rPr>
          <w:rFonts w:ascii="宋体" w:hAnsi="宋体"/>
          <w:sz w:val="24"/>
        </w:rPr>
        <w:t>4.</w:t>
      </w:r>
      <w:r>
        <w:rPr>
          <w:rFonts w:hint="eastAsia" w:ascii="宋体" w:hAnsi="宋体"/>
          <w:sz w:val="24"/>
        </w:rPr>
        <w:t xml:space="preserve"> 本磋商有效期为自磋商之日起天。</w:t>
      </w:r>
    </w:p>
    <w:p>
      <w:pPr>
        <w:spacing w:line="400" w:lineRule="exact"/>
        <w:ind w:left="707" w:hanging="283"/>
        <w:rPr>
          <w:rFonts w:ascii="宋体" w:hAnsi="宋体"/>
          <w:sz w:val="24"/>
        </w:rPr>
      </w:pPr>
      <w:r>
        <w:rPr>
          <w:rFonts w:ascii="宋体" w:hAnsi="宋体"/>
          <w:sz w:val="24"/>
        </w:rPr>
        <w:t>5.</w:t>
      </w:r>
      <w:r>
        <w:rPr>
          <w:rFonts w:hint="eastAsia" w:ascii="宋体" w:hAnsi="宋体"/>
          <w:sz w:val="24"/>
        </w:rPr>
        <w:t xml:space="preserve"> 如果在规定的磋商时间后，我方在磋商有效期内撤回响应文件，磋商保证金不予退还。</w:t>
      </w:r>
    </w:p>
    <w:p>
      <w:pPr>
        <w:spacing w:line="400" w:lineRule="exact"/>
        <w:ind w:left="707" w:hanging="283"/>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 xml:space="preserve"> 我方同意提供按照贵方可能要求的与其磋商有关的一切数据或资料。</w:t>
      </w:r>
    </w:p>
    <w:p>
      <w:pPr>
        <w:spacing w:line="400" w:lineRule="exact"/>
        <w:ind w:left="707" w:hanging="283"/>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 xml:space="preserve"> 与本磋商有关的一切正式往来信函请寄</w:t>
      </w:r>
      <w:r>
        <w:rPr>
          <w:rFonts w:ascii="宋体" w:hAnsi="宋体"/>
          <w:sz w:val="24"/>
        </w:rPr>
        <w:t>:</w:t>
      </w:r>
    </w:p>
    <w:p>
      <w:pPr>
        <w:spacing w:line="400" w:lineRule="exact"/>
        <w:ind w:left="707" w:hanging="283"/>
        <w:rPr>
          <w:rFonts w:ascii="宋体" w:hAnsi="宋体"/>
          <w:sz w:val="24"/>
        </w:rPr>
      </w:pPr>
    </w:p>
    <w:p>
      <w:pPr>
        <w:spacing w:line="432" w:lineRule="auto"/>
        <w:rPr>
          <w:rFonts w:ascii="宋体" w:hAnsi="宋体"/>
          <w:sz w:val="24"/>
          <w:u w:val="single"/>
        </w:rPr>
      </w:pPr>
      <w:r>
        <w:rPr>
          <w:rFonts w:hint="eastAsia" w:ascii="宋体" w:hAnsi="宋体"/>
          <w:sz w:val="24"/>
        </w:rPr>
        <w:t>地址    传真</w:t>
      </w:r>
    </w:p>
    <w:p>
      <w:pPr>
        <w:spacing w:line="432" w:lineRule="auto"/>
        <w:rPr>
          <w:rFonts w:ascii="宋体" w:hAnsi="宋体"/>
          <w:sz w:val="24"/>
          <w:u w:val="single"/>
        </w:rPr>
      </w:pPr>
      <w:r>
        <w:rPr>
          <w:rFonts w:hint="eastAsia" w:ascii="宋体" w:hAnsi="宋体"/>
          <w:sz w:val="24"/>
        </w:rPr>
        <w:t>电话    电子邮件</w:t>
      </w:r>
    </w:p>
    <w:p>
      <w:pPr>
        <w:spacing w:line="432" w:lineRule="auto"/>
        <w:rPr>
          <w:rFonts w:ascii="宋体" w:hAnsi="宋体"/>
          <w:sz w:val="24"/>
        </w:rPr>
      </w:pPr>
    </w:p>
    <w:p>
      <w:pPr>
        <w:spacing w:line="432" w:lineRule="auto"/>
        <w:rPr>
          <w:rFonts w:ascii="宋体" w:hAnsi="宋体"/>
          <w:sz w:val="24"/>
        </w:rPr>
      </w:pPr>
      <w:r>
        <w:rPr>
          <w:rFonts w:hint="eastAsia" w:ascii="宋体" w:hAnsi="宋体"/>
          <w:sz w:val="24"/>
        </w:rPr>
        <w:t>供应商代表签字或签章</w:t>
      </w:r>
    </w:p>
    <w:p>
      <w:pPr>
        <w:spacing w:line="432" w:lineRule="auto"/>
        <w:rPr>
          <w:rFonts w:ascii="宋体" w:hAnsi="宋体"/>
          <w:sz w:val="24"/>
          <w:u w:val="single"/>
        </w:rPr>
      </w:pPr>
      <w:r>
        <w:rPr>
          <w:rFonts w:hint="eastAsia" w:ascii="宋体" w:hAnsi="宋体"/>
          <w:sz w:val="24"/>
        </w:rPr>
        <w:t>供应商签章</w:t>
      </w:r>
    </w:p>
    <w:p>
      <w:pPr>
        <w:spacing w:line="432" w:lineRule="auto"/>
        <w:rPr>
          <w:rFonts w:ascii="宋体" w:hAnsi="宋体"/>
          <w:sz w:val="24"/>
          <w:u w:val="single"/>
        </w:rPr>
      </w:pPr>
      <w:r>
        <w:rPr>
          <w:rFonts w:hint="eastAsia" w:ascii="宋体" w:hAnsi="宋体"/>
          <w:sz w:val="24"/>
        </w:rPr>
        <w:t>日期</w:t>
      </w:r>
    </w:p>
    <w:p>
      <w:pPr>
        <w:spacing w:line="432" w:lineRule="auto"/>
        <w:jc w:val="center"/>
        <w:rPr>
          <w:rFonts w:ascii="宋体" w:hAnsi="宋体"/>
          <w:sz w:val="28"/>
        </w:rPr>
        <w:sectPr>
          <w:footerReference r:id="rId6" w:type="default"/>
          <w:pgSz w:w="11907" w:h="16840"/>
          <w:pgMar w:top="1474" w:right="1134" w:bottom="1474" w:left="1134" w:header="720" w:footer="720" w:gutter="0"/>
          <w:cols w:space="720" w:num="1"/>
          <w:docGrid w:linePitch="285" w:charSpace="0"/>
        </w:sectPr>
      </w:pPr>
    </w:p>
    <w:p>
      <w:pPr>
        <w:pStyle w:val="6"/>
        <w:spacing w:before="0" w:after="0" w:line="460" w:lineRule="exact"/>
        <w:jc w:val="center"/>
        <w:rPr>
          <w:rFonts w:ascii="宋体" w:hAnsi="宋体" w:eastAsia="宋体"/>
          <w:sz w:val="30"/>
          <w:szCs w:val="30"/>
        </w:rPr>
      </w:pPr>
      <w:bookmarkStart w:id="77" w:name="_Toc48722668"/>
      <w:bookmarkStart w:id="78" w:name="_Toc498611432"/>
      <w:r>
        <w:rPr>
          <w:rFonts w:hint="eastAsia" w:ascii="宋体" w:hAnsi="宋体" w:eastAsia="宋体"/>
          <w:sz w:val="30"/>
          <w:szCs w:val="30"/>
        </w:rPr>
        <w:t>格式2．报价表</w:t>
      </w:r>
      <w:bookmarkEnd w:id="77"/>
      <w:bookmarkEnd w:id="78"/>
    </w:p>
    <w:p>
      <w:pPr>
        <w:spacing w:line="120" w:lineRule="auto"/>
        <w:jc w:val="center"/>
        <w:rPr>
          <w:rFonts w:ascii="宋体" w:hAnsi="宋体"/>
          <w:sz w:val="28"/>
        </w:rPr>
      </w:pPr>
    </w:p>
    <w:p>
      <w:pPr>
        <w:spacing w:line="432" w:lineRule="auto"/>
        <w:rPr>
          <w:rFonts w:ascii="宋体"/>
          <w:sz w:val="24"/>
        </w:rPr>
      </w:pPr>
      <w:r>
        <w:rPr>
          <w:rFonts w:hint="eastAsia" w:ascii="宋体" w:hAnsi="宋体"/>
          <w:sz w:val="24"/>
        </w:rPr>
        <w:t>供应商名称：项目编号：</w:t>
      </w:r>
    </w:p>
    <w:tbl>
      <w:tblPr>
        <w:tblStyle w:val="16"/>
        <w:tblW w:w="1410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522"/>
        <w:gridCol w:w="876"/>
        <w:gridCol w:w="918"/>
        <w:gridCol w:w="1545"/>
        <w:gridCol w:w="1137"/>
        <w:gridCol w:w="2256"/>
        <w:gridCol w:w="40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26" w:type="dxa"/>
            <w:tcBorders>
              <w:top w:val="single" w:color="auto" w:sz="8" w:space="0"/>
            </w:tcBorders>
            <w:vAlign w:val="center"/>
          </w:tcPr>
          <w:p>
            <w:pPr>
              <w:spacing w:line="432" w:lineRule="auto"/>
              <w:jc w:val="center"/>
              <w:rPr>
                <w:rFonts w:ascii="宋体"/>
                <w:sz w:val="24"/>
              </w:rPr>
            </w:pPr>
            <w:r>
              <w:rPr>
                <w:rFonts w:hint="eastAsia" w:ascii="宋体" w:hAnsi="宋体"/>
                <w:sz w:val="24"/>
              </w:rPr>
              <w:t>序号</w:t>
            </w:r>
          </w:p>
        </w:tc>
        <w:tc>
          <w:tcPr>
            <w:tcW w:w="2522" w:type="dxa"/>
            <w:tcBorders>
              <w:top w:val="single" w:color="auto" w:sz="8" w:space="0"/>
            </w:tcBorders>
            <w:vAlign w:val="center"/>
          </w:tcPr>
          <w:p>
            <w:pPr>
              <w:spacing w:line="432" w:lineRule="auto"/>
              <w:jc w:val="center"/>
              <w:rPr>
                <w:rFonts w:ascii="宋体"/>
                <w:sz w:val="24"/>
              </w:rPr>
            </w:pPr>
            <w:r>
              <w:rPr>
                <w:rFonts w:hint="eastAsia" w:ascii="宋体" w:hAnsi="宋体"/>
                <w:sz w:val="24"/>
              </w:rPr>
              <w:t>项目名称</w:t>
            </w:r>
          </w:p>
        </w:tc>
        <w:tc>
          <w:tcPr>
            <w:tcW w:w="876" w:type="dxa"/>
            <w:tcBorders>
              <w:top w:val="single" w:color="auto" w:sz="8" w:space="0"/>
            </w:tcBorders>
            <w:vAlign w:val="center"/>
          </w:tcPr>
          <w:p>
            <w:pPr>
              <w:spacing w:line="432" w:lineRule="auto"/>
              <w:jc w:val="center"/>
              <w:rPr>
                <w:rFonts w:ascii="宋体"/>
                <w:sz w:val="24"/>
              </w:rPr>
            </w:pPr>
            <w:r>
              <w:rPr>
                <w:rFonts w:hint="eastAsia" w:ascii="宋体" w:hAnsi="宋体"/>
                <w:sz w:val="24"/>
              </w:rPr>
              <w:t>数量</w:t>
            </w:r>
          </w:p>
        </w:tc>
        <w:tc>
          <w:tcPr>
            <w:tcW w:w="918" w:type="dxa"/>
            <w:tcBorders>
              <w:top w:val="single" w:color="auto" w:sz="8" w:space="0"/>
            </w:tcBorders>
            <w:vAlign w:val="center"/>
          </w:tcPr>
          <w:p>
            <w:pPr>
              <w:spacing w:line="432" w:lineRule="auto"/>
              <w:jc w:val="center"/>
              <w:rPr>
                <w:rFonts w:ascii="宋体"/>
                <w:sz w:val="24"/>
              </w:rPr>
            </w:pPr>
            <w:r>
              <w:rPr>
                <w:rFonts w:hint="eastAsia" w:ascii="宋体" w:hAnsi="宋体"/>
                <w:sz w:val="24"/>
              </w:rPr>
              <w:t>单位</w:t>
            </w:r>
          </w:p>
        </w:tc>
        <w:tc>
          <w:tcPr>
            <w:tcW w:w="1545" w:type="dxa"/>
            <w:tcBorders>
              <w:top w:val="single" w:color="auto" w:sz="8" w:space="0"/>
            </w:tcBorders>
            <w:vAlign w:val="center"/>
          </w:tcPr>
          <w:p>
            <w:pPr>
              <w:spacing w:line="432" w:lineRule="auto"/>
              <w:jc w:val="center"/>
              <w:rPr>
                <w:rFonts w:ascii="宋体"/>
                <w:sz w:val="24"/>
              </w:rPr>
            </w:pPr>
            <w:r>
              <w:rPr>
                <w:rFonts w:hint="eastAsia" w:ascii="宋体" w:hAnsi="宋体"/>
                <w:sz w:val="24"/>
              </w:rPr>
              <w:t>总报价</w:t>
            </w:r>
          </w:p>
        </w:tc>
        <w:tc>
          <w:tcPr>
            <w:tcW w:w="1137" w:type="dxa"/>
            <w:tcBorders>
              <w:top w:val="single" w:color="auto" w:sz="8" w:space="0"/>
            </w:tcBorders>
            <w:vAlign w:val="center"/>
          </w:tcPr>
          <w:p>
            <w:pPr>
              <w:spacing w:line="432" w:lineRule="auto"/>
              <w:jc w:val="center"/>
              <w:rPr>
                <w:rFonts w:ascii="宋体"/>
                <w:sz w:val="24"/>
              </w:rPr>
            </w:pPr>
            <w:r>
              <w:rPr>
                <w:rFonts w:hint="eastAsia" w:ascii="宋体" w:hAnsi="宋体"/>
                <w:sz w:val="24"/>
              </w:rPr>
              <w:t>工期</w:t>
            </w:r>
          </w:p>
        </w:tc>
        <w:tc>
          <w:tcPr>
            <w:tcW w:w="2256" w:type="dxa"/>
            <w:tcBorders>
              <w:top w:val="single" w:color="auto" w:sz="8" w:space="0"/>
            </w:tcBorders>
            <w:vAlign w:val="center"/>
          </w:tcPr>
          <w:p>
            <w:pPr>
              <w:spacing w:line="432" w:lineRule="auto"/>
              <w:jc w:val="center"/>
              <w:rPr>
                <w:rFonts w:ascii="宋体"/>
                <w:sz w:val="24"/>
              </w:rPr>
            </w:pPr>
            <w:r>
              <w:rPr>
                <w:rFonts w:hint="eastAsia" w:ascii="宋体" w:hAnsi="宋体"/>
                <w:sz w:val="24"/>
              </w:rPr>
              <w:t>项目地点</w:t>
            </w:r>
          </w:p>
        </w:tc>
        <w:tc>
          <w:tcPr>
            <w:tcW w:w="4028" w:type="dxa"/>
            <w:tcBorders>
              <w:top w:val="single" w:color="auto" w:sz="8" w:space="0"/>
            </w:tcBorders>
            <w:vAlign w:val="center"/>
          </w:tcPr>
          <w:p>
            <w:pPr>
              <w:spacing w:line="432" w:lineRule="auto"/>
              <w:jc w:val="center"/>
              <w:rPr>
                <w:rFonts w:ascii="宋体"/>
                <w:sz w:val="24"/>
              </w:rPr>
            </w:pPr>
            <w:r>
              <w:rPr>
                <w:rFonts w:hint="eastAsia" w:ascii="宋体" w:hAnsi="宋体"/>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26" w:type="dxa"/>
            <w:vAlign w:val="center"/>
          </w:tcPr>
          <w:p>
            <w:pPr>
              <w:spacing w:line="432" w:lineRule="auto"/>
              <w:jc w:val="center"/>
              <w:rPr>
                <w:rFonts w:ascii="宋体"/>
                <w:sz w:val="28"/>
              </w:rPr>
            </w:pPr>
          </w:p>
        </w:tc>
        <w:tc>
          <w:tcPr>
            <w:tcW w:w="2522" w:type="dxa"/>
            <w:vAlign w:val="center"/>
          </w:tcPr>
          <w:p>
            <w:pPr>
              <w:spacing w:line="432" w:lineRule="auto"/>
              <w:jc w:val="center"/>
              <w:rPr>
                <w:rFonts w:ascii="宋体"/>
                <w:sz w:val="28"/>
              </w:rPr>
            </w:pPr>
          </w:p>
        </w:tc>
        <w:tc>
          <w:tcPr>
            <w:tcW w:w="876" w:type="dxa"/>
            <w:vAlign w:val="center"/>
          </w:tcPr>
          <w:p>
            <w:pPr>
              <w:spacing w:line="432" w:lineRule="auto"/>
              <w:jc w:val="center"/>
              <w:rPr>
                <w:rFonts w:ascii="宋体"/>
                <w:sz w:val="28"/>
              </w:rPr>
            </w:pPr>
          </w:p>
        </w:tc>
        <w:tc>
          <w:tcPr>
            <w:tcW w:w="918" w:type="dxa"/>
            <w:vAlign w:val="center"/>
          </w:tcPr>
          <w:p>
            <w:pPr>
              <w:spacing w:line="432" w:lineRule="auto"/>
              <w:jc w:val="center"/>
              <w:rPr>
                <w:rFonts w:ascii="宋体"/>
                <w:sz w:val="28"/>
              </w:rPr>
            </w:pPr>
          </w:p>
        </w:tc>
        <w:tc>
          <w:tcPr>
            <w:tcW w:w="1545" w:type="dxa"/>
            <w:vAlign w:val="center"/>
          </w:tcPr>
          <w:p>
            <w:pPr>
              <w:spacing w:line="432" w:lineRule="auto"/>
              <w:jc w:val="center"/>
              <w:rPr>
                <w:rFonts w:ascii="宋体"/>
                <w:sz w:val="28"/>
              </w:rPr>
            </w:pPr>
          </w:p>
        </w:tc>
        <w:tc>
          <w:tcPr>
            <w:tcW w:w="1137" w:type="dxa"/>
            <w:vAlign w:val="center"/>
          </w:tcPr>
          <w:p>
            <w:pPr>
              <w:spacing w:line="432" w:lineRule="auto"/>
              <w:jc w:val="center"/>
              <w:rPr>
                <w:rFonts w:ascii="宋体"/>
                <w:sz w:val="28"/>
              </w:rPr>
            </w:pPr>
          </w:p>
        </w:tc>
        <w:tc>
          <w:tcPr>
            <w:tcW w:w="2256" w:type="dxa"/>
            <w:vAlign w:val="center"/>
          </w:tcPr>
          <w:p>
            <w:pPr>
              <w:spacing w:line="432" w:lineRule="auto"/>
              <w:jc w:val="center"/>
              <w:rPr>
                <w:rFonts w:ascii="宋体"/>
                <w:sz w:val="28"/>
              </w:rPr>
            </w:pPr>
          </w:p>
        </w:tc>
        <w:tc>
          <w:tcPr>
            <w:tcW w:w="4028" w:type="dxa"/>
            <w:vAlign w:val="center"/>
          </w:tcPr>
          <w:p>
            <w:pPr>
              <w:spacing w:line="432" w:lineRule="auto"/>
              <w:jc w:val="center"/>
              <w:rPr>
                <w:rFonts w:ascii="宋体"/>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4108" w:type="dxa"/>
            <w:gridSpan w:val="8"/>
            <w:tcBorders>
              <w:bottom w:val="single" w:color="auto" w:sz="8" w:space="0"/>
            </w:tcBorders>
            <w:vAlign w:val="center"/>
          </w:tcPr>
          <w:p>
            <w:pPr>
              <w:spacing w:beforeLines="150" w:line="432" w:lineRule="auto"/>
              <w:rPr>
                <w:rFonts w:ascii="宋体"/>
                <w:sz w:val="28"/>
              </w:rPr>
            </w:pPr>
            <w:r>
              <w:rPr>
                <w:rFonts w:hint="eastAsia" w:ascii="宋体" w:hAnsi="宋体"/>
                <w:sz w:val="28"/>
              </w:rPr>
              <w:t xml:space="preserve">总价：（大写）                                </w:t>
            </w:r>
            <w:r>
              <w:rPr>
                <w:rFonts w:hint="eastAsia" w:ascii="宋体" w:hAnsi="宋体"/>
                <w:sz w:val="24"/>
              </w:rPr>
              <w:t>￥：（小写）</w:t>
            </w:r>
          </w:p>
        </w:tc>
      </w:tr>
    </w:tbl>
    <w:p>
      <w:pPr>
        <w:spacing w:line="432" w:lineRule="auto"/>
        <w:rPr>
          <w:rFonts w:ascii="宋体"/>
          <w:i/>
          <w:sz w:val="24"/>
        </w:rPr>
      </w:pPr>
    </w:p>
    <w:p>
      <w:pPr>
        <w:spacing w:line="432" w:lineRule="auto"/>
        <w:rPr>
          <w:rFonts w:ascii="宋体" w:hAnsi="宋体"/>
          <w:sz w:val="24"/>
          <w:u w:val="single"/>
        </w:rPr>
      </w:pPr>
      <w:r>
        <w:rPr>
          <w:rFonts w:hint="eastAsia" w:ascii="宋体" w:hAnsi="宋体"/>
          <w:sz w:val="24"/>
        </w:rPr>
        <w:t>供应商盖章：</w:t>
      </w:r>
    </w:p>
    <w:p>
      <w:pPr>
        <w:spacing w:line="432" w:lineRule="auto"/>
        <w:rPr>
          <w:rFonts w:ascii="宋体" w:hAnsi="宋体"/>
          <w:sz w:val="24"/>
          <w:u w:val="single"/>
        </w:rPr>
      </w:pPr>
    </w:p>
    <w:p>
      <w:pPr>
        <w:spacing w:line="432" w:lineRule="auto"/>
        <w:rPr>
          <w:rFonts w:ascii="宋体" w:hAnsi="宋体"/>
          <w:sz w:val="24"/>
          <w:u w:val="single"/>
        </w:rPr>
      </w:pPr>
    </w:p>
    <w:p>
      <w:pPr>
        <w:spacing w:line="432" w:lineRule="auto"/>
        <w:rPr>
          <w:rFonts w:ascii="宋体"/>
          <w:sz w:val="24"/>
          <w:u w:val="single"/>
        </w:rPr>
      </w:pPr>
    </w:p>
    <w:p>
      <w:pPr>
        <w:pStyle w:val="6"/>
        <w:spacing w:before="0" w:after="0" w:line="460" w:lineRule="exact"/>
        <w:jc w:val="center"/>
        <w:rPr>
          <w:rFonts w:ascii="宋体" w:hAnsi="宋体" w:eastAsia="宋体"/>
          <w:sz w:val="24"/>
        </w:rPr>
      </w:pPr>
    </w:p>
    <w:p>
      <w:pPr>
        <w:rPr>
          <w:rFonts w:ascii="宋体" w:hAnsi="宋体"/>
          <w:sz w:val="24"/>
        </w:rPr>
      </w:pPr>
    </w:p>
    <w:p>
      <w:pPr>
        <w:pStyle w:val="2"/>
        <w:ind w:firstLine="480"/>
        <w:rPr>
          <w:rFonts w:ascii="宋体" w:hAnsi="宋体"/>
          <w:sz w:val="24"/>
        </w:rPr>
      </w:pPr>
    </w:p>
    <w:p>
      <w:pPr>
        <w:pStyle w:val="2"/>
        <w:ind w:firstLine="480"/>
        <w:rPr>
          <w:rFonts w:ascii="宋体" w:hAnsi="宋体"/>
          <w:sz w:val="24"/>
        </w:rPr>
      </w:pPr>
    </w:p>
    <w:p>
      <w:pPr>
        <w:pStyle w:val="2"/>
        <w:ind w:firstLine="480"/>
        <w:rPr>
          <w:rFonts w:ascii="宋体" w:hAnsi="宋体"/>
          <w:sz w:val="24"/>
        </w:rPr>
      </w:pPr>
    </w:p>
    <w:p>
      <w:pPr>
        <w:pStyle w:val="6"/>
        <w:spacing w:before="0" w:after="0" w:line="460" w:lineRule="exact"/>
        <w:jc w:val="center"/>
        <w:rPr>
          <w:rFonts w:ascii="宋体" w:hAnsi="宋体" w:eastAsia="宋体"/>
          <w:sz w:val="30"/>
          <w:szCs w:val="30"/>
        </w:rPr>
      </w:pPr>
      <w:bookmarkStart w:id="79" w:name="_Toc48722669"/>
      <w:r>
        <w:rPr>
          <w:rFonts w:hint="eastAsia" w:ascii="宋体" w:hAnsi="宋体" w:eastAsia="宋体"/>
          <w:sz w:val="30"/>
          <w:szCs w:val="30"/>
        </w:rPr>
        <w:t>格式2-1．分项报价表</w:t>
      </w:r>
      <w:bookmarkEnd w:id="79"/>
    </w:p>
    <w:p>
      <w:pPr>
        <w:pStyle w:val="2"/>
        <w:ind w:firstLine="480"/>
        <w:rPr>
          <w:rFonts w:ascii="宋体" w:hAnsi="宋体"/>
          <w:sz w:val="24"/>
        </w:rPr>
      </w:pPr>
    </w:p>
    <w:tbl>
      <w:tblPr>
        <w:tblStyle w:val="16"/>
        <w:tblW w:w="13936" w:type="dxa"/>
        <w:tblInd w:w="0" w:type="dxa"/>
        <w:tblLayout w:type="fixed"/>
        <w:tblCellMar>
          <w:top w:w="0" w:type="dxa"/>
          <w:left w:w="0" w:type="dxa"/>
          <w:bottom w:w="0" w:type="dxa"/>
          <w:right w:w="0" w:type="dxa"/>
        </w:tblCellMar>
      </w:tblPr>
      <w:tblGrid>
        <w:gridCol w:w="570"/>
        <w:gridCol w:w="1125"/>
        <w:gridCol w:w="4454"/>
        <w:gridCol w:w="1459"/>
        <w:gridCol w:w="1473"/>
        <w:gridCol w:w="1145"/>
        <w:gridCol w:w="1541"/>
        <w:gridCol w:w="2169"/>
      </w:tblGrid>
      <w:tr>
        <w:tblPrEx>
          <w:tblCellMar>
            <w:top w:w="0" w:type="dxa"/>
            <w:left w:w="0" w:type="dxa"/>
            <w:bottom w:w="0" w:type="dxa"/>
            <w:right w:w="0" w:type="dxa"/>
          </w:tblCellMar>
        </w:tblPrEx>
        <w:trPr>
          <w:trHeight w:val="630" w:hRule="atLeast"/>
          <w:tblHeader/>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名称</w:t>
            </w:r>
          </w:p>
        </w:tc>
        <w:tc>
          <w:tcPr>
            <w:tcW w:w="44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材质说明等</w:t>
            </w:r>
          </w:p>
        </w:tc>
        <w:tc>
          <w:tcPr>
            <w:tcW w:w="14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数量</w:t>
            </w:r>
          </w:p>
        </w:tc>
        <w:tc>
          <w:tcPr>
            <w:tcW w:w="1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单位</w:t>
            </w:r>
          </w:p>
        </w:tc>
        <w:tc>
          <w:tcPr>
            <w:tcW w:w="1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单价（元）</w:t>
            </w:r>
          </w:p>
        </w:tc>
        <w:tc>
          <w:tcPr>
            <w:tcW w:w="1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金额（元）</w:t>
            </w:r>
          </w:p>
        </w:tc>
        <w:tc>
          <w:tcPr>
            <w:tcW w:w="2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备注</w:t>
            </w:r>
          </w:p>
        </w:tc>
      </w:tr>
      <w:tr>
        <w:tblPrEx>
          <w:tblCellMar>
            <w:top w:w="0" w:type="dxa"/>
            <w:left w:w="0" w:type="dxa"/>
            <w:bottom w:w="0" w:type="dxa"/>
            <w:right w:w="0" w:type="dxa"/>
          </w:tblCellMar>
        </w:tblPrEx>
        <w:trPr>
          <w:trHeight w:val="1470" w:hRule="atLeast"/>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44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4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2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1470" w:hRule="atLeast"/>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44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4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2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1470" w:hRule="atLeast"/>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3</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44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4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2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cs="宋体"/>
                <w:color w:val="000000"/>
                <w:sz w:val="22"/>
                <w:szCs w:val="22"/>
              </w:rPr>
            </w:pPr>
          </w:p>
        </w:tc>
      </w:tr>
    </w:tbl>
    <w:p>
      <w:pPr>
        <w:pStyle w:val="2"/>
        <w:ind w:firstLine="480"/>
        <w:rPr>
          <w:rFonts w:ascii="宋体" w:hAnsi="宋体"/>
          <w:sz w:val="24"/>
        </w:rPr>
      </w:pPr>
    </w:p>
    <w:p>
      <w:pPr>
        <w:rPr>
          <w:rFonts w:hAnsi="宋体" w:cs="宋体"/>
        </w:rPr>
      </w:pPr>
    </w:p>
    <w:p>
      <w:pPr>
        <w:adjustRightInd w:val="0"/>
        <w:snapToGrid w:val="0"/>
        <w:spacing w:line="300" w:lineRule="auto"/>
        <w:rPr>
          <w:rFonts w:ascii="宋体" w:hAnsi="宋体" w:cs="宋体"/>
          <w:snapToGrid w:val="0"/>
          <w:kern w:val="0"/>
          <w:sz w:val="24"/>
          <w:szCs w:val="24"/>
        </w:rPr>
      </w:pPr>
      <w:r>
        <w:rPr>
          <w:rFonts w:hint="eastAsia" w:ascii="宋体" w:hAnsi="宋体" w:cs="宋体"/>
          <w:snapToGrid w:val="0"/>
          <w:kern w:val="0"/>
          <w:sz w:val="24"/>
          <w:szCs w:val="24"/>
        </w:rPr>
        <w:t>采购响应单位：（盖章）</w:t>
      </w:r>
    </w:p>
    <w:p>
      <w:pPr>
        <w:adjustRightInd w:val="0"/>
        <w:snapToGrid w:val="0"/>
        <w:spacing w:line="300" w:lineRule="auto"/>
        <w:rPr>
          <w:rFonts w:hAnsi="宋体" w:cs="宋体"/>
          <w:sz w:val="30"/>
          <w:szCs w:val="30"/>
        </w:rPr>
      </w:pPr>
      <w:r>
        <w:rPr>
          <w:rFonts w:hint="eastAsia" w:ascii="宋体" w:hAnsi="宋体" w:cs="宋体"/>
          <w:snapToGrid w:val="0"/>
          <w:kern w:val="0"/>
          <w:sz w:val="24"/>
          <w:szCs w:val="24"/>
        </w:rPr>
        <w:t>法定代表人或被授权人：（签字）</w:t>
      </w:r>
    </w:p>
    <w:p>
      <w:pPr>
        <w:pStyle w:val="2"/>
        <w:ind w:firstLine="480"/>
        <w:rPr>
          <w:rFonts w:ascii="宋体" w:hAnsi="宋体"/>
          <w:sz w:val="24"/>
        </w:rPr>
      </w:pPr>
    </w:p>
    <w:p>
      <w:pPr>
        <w:pStyle w:val="2"/>
        <w:ind w:firstLine="480"/>
        <w:rPr>
          <w:rFonts w:ascii="宋体" w:hAnsi="宋体"/>
          <w:sz w:val="24"/>
        </w:rPr>
      </w:pPr>
    </w:p>
    <w:p>
      <w:pPr>
        <w:pStyle w:val="2"/>
        <w:ind w:firstLine="480"/>
        <w:rPr>
          <w:rFonts w:ascii="宋体" w:hAnsi="宋体"/>
          <w:sz w:val="24"/>
        </w:rPr>
        <w:sectPr>
          <w:footerReference r:id="rId7" w:type="default"/>
          <w:footerReference r:id="rId8" w:type="even"/>
          <w:pgSz w:w="16840" w:h="11907" w:orient="landscape"/>
          <w:pgMar w:top="1134" w:right="1474" w:bottom="1814" w:left="1474" w:header="720" w:footer="720" w:gutter="0"/>
          <w:cols w:space="720" w:num="1"/>
          <w:docGrid w:linePitch="285" w:charSpace="0"/>
        </w:sectPr>
      </w:pPr>
      <w:r>
        <w:rPr>
          <w:rFonts w:hint="eastAsia" w:ascii="宋体" w:hAnsi="宋体"/>
          <w:sz w:val="24"/>
        </w:rPr>
        <w:t>备注：此表格仅为示意，各供应商可自行调整。</w:t>
      </w:r>
    </w:p>
    <w:p>
      <w:pPr>
        <w:pStyle w:val="6"/>
        <w:spacing w:before="0" w:after="0" w:line="460" w:lineRule="exact"/>
        <w:jc w:val="center"/>
        <w:rPr>
          <w:rFonts w:ascii="宋体" w:hAnsi="宋体" w:eastAsia="宋体"/>
          <w:sz w:val="30"/>
          <w:szCs w:val="30"/>
        </w:rPr>
      </w:pPr>
      <w:bookmarkStart w:id="80" w:name="_Toc498611435"/>
      <w:bookmarkStart w:id="81" w:name="_Toc48722670"/>
      <w:r>
        <w:rPr>
          <w:rFonts w:hint="eastAsia" w:ascii="宋体" w:hAnsi="宋体" w:eastAsia="宋体"/>
          <w:sz w:val="30"/>
          <w:szCs w:val="30"/>
        </w:rPr>
        <w:t>格式3. 商务条款响应/偏离表</w:t>
      </w:r>
      <w:bookmarkEnd w:id="80"/>
      <w:bookmarkEnd w:id="81"/>
    </w:p>
    <w:p/>
    <w:p>
      <w:pPr>
        <w:rPr>
          <w:rFonts w:ascii="宋体" w:hAnsi="宋体"/>
          <w:sz w:val="24"/>
        </w:rPr>
      </w:pPr>
      <w:r>
        <w:rPr>
          <w:rFonts w:hint="eastAsia"/>
          <w:sz w:val="24"/>
          <w:szCs w:val="24"/>
        </w:rPr>
        <w:t>项目编号：</w:t>
      </w:r>
      <w:bookmarkStart w:id="82" w:name="_Toc498611436"/>
    </w:p>
    <w:tbl>
      <w:tblPr>
        <w:tblStyle w:val="16"/>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471"/>
        <w:gridCol w:w="1470"/>
        <w:gridCol w:w="1817"/>
        <w:gridCol w:w="1124"/>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470" w:type="dxa"/>
            <w:vAlign w:val="center"/>
          </w:tcPr>
          <w:p>
            <w:pPr>
              <w:spacing w:line="432" w:lineRule="auto"/>
              <w:jc w:val="center"/>
              <w:rPr>
                <w:rFonts w:ascii="宋体" w:hAnsi="宋体"/>
                <w:sz w:val="24"/>
              </w:rPr>
            </w:pPr>
            <w:r>
              <w:rPr>
                <w:rFonts w:hint="eastAsia" w:ascii="宋体" w:hAnsi="宋体"/>
                <w:sz w:val="24"/>
              </w:rPr>
              <w:t>序号</w:t>
            </w:r>
          </w:p>
        </w:tc>
        <w:tc>
          <w:tcPr>
            <w:tcW w:w="1471" w:type="dxa"/>
            <w:vAlign w:val="center"/>
          </w:tcPr>
          <w:p>
            <w:pPr>
              <w:spacing w:line="432" w:lineRule="auto"/>
              <w:jc w:val="center"/>
              <w:rPr>
                <w:rFonts w:ascii="宋体" w:hAnsi="宋体"/>
                <w:sz w:val="24"/>
              </w:rPr>
            </w:pPr>
            <w:r>
              <w:rPr>
                <w:rFonts w:hint="eastAsia" w:ascii="宋体" w:hAnsi="宋体"/>
                <w:sz w:val="24"/>
              </w:rPr>
              <w:t>磋商文件条目号</w:t>
            </w:r>
          </w:p>
        </w:tc>
        <w:tc>
          <w:tcPr>
            <w:tcW w:w="1470" w:type="dxa"/>
            <w:vAlign w:val="center"/>
          </w:tcPr>
          <w:p>
            <w:pPr>
              <w:spacing w:line="432" w:lineRule="auto"/>
              <w:jc w:val="center"/>
              <w:rPr>
                <w:rFonts w:ascii="宋体" w:hAnsi="宋体"/>
                <w:sz w:val="24"/>
              </w:rPr>
            </w:pPr>
            <w:r>
              <w:rPr>
                <w:rFonts w:hint="eastAsia" w:ascii="宋体" w:hAnsi="宋体"/>
                <w:sz w:val="24"/>
              </w:rPr>
              <w:t>磋商文件的商务条款</w:t>
            </w:r>
          </w:p>
        </w:tc>
        <w:tc>
          <w:tcPr>
            <w:tcW w:w="1817" w:type="dxa"/>
            <w:vAlign w:val="center"/>
          </w:tcPr>
          <w:p>
            <w:pPr>
              <w:spacing w:line="432" w:lineRule="auto"/>
              <w:jc w:val="center"/>
              <w:rPr>
                <w:rFonts w:ascii="宋体" w:hAnsi="宋体"/>
                <w:sz w:val="24"/>
              </w:rPr>
            </w:pPr>
            <w:r>
              <w:rPr>
                <w:rFonts w:hint="eastAsia" w:ascii="宋体" w:hAnsi="宋体"/>
                <w:sz w:val="24"/>
              </w:rPr>
              <w:t>响应文件的商务条款</w:t>
            </w:r>
          </w:p>
        </w:tc>
        <w:tc>
          <w:tcPr>
            <w:tcW w:w="1124" w:type="dxa"/>
            <w:vAlign w:val="center"/>
          </w:tcPr>
          <w:p>
            <w:pPr>
              <w:spacing w:line="432" w:lineRule="auto"/>
              <w:jc w:val="center"/>
              <w:rPr>
                <w:rFonts w:ascii="宋体" w:hAnsi="宋体"/>
                <w:sz w:val="24"/>
              </w:rPr>
            </w:pPr>
            <w:r>
              <w:rPr>
                <w:rFonts w:hint="eastAsia" w:ascii="宋体" w:hAnsi="宋体"/>
                <w:sz w:val="24"/>
              </w:rPr>
              <w:t>响应/偏离</w:t>
            </w:r>
          </w:p>
        </w:tc>
        <w:tc>
          <w:tcPr>
            <w:tcW w:w="1471" w:type="dxa"/>
            <w:vAlign w:val="center"/>
          </w:tcPr>
          <w:p>
            <w:pPr>
              <w:spacing w:line="432" w:lineRule="auto"/>
              <w:jc w:val="center"/>
              <w:rPr>
                <w:rFonts w:ascii="宋体" w:hAnsi="宋体"/>
                <w:sz w:val="24"/>
              </w:rPr>
            </w:pPr>
            <w:r>
              <w:rPr>
                <w:rFonts w:hint="eastAsia"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宋体" w:hAnsi="宋体"/>
                <w:sz w:val="24"/>
              </w:rPr>
            </w:pPr>
          </w:p>
        </w:tc>
        <w:tc>
          <w:tcPr>
            <w:tcW w:w="1471" w:type="dxa"/>
          </w:tcPr>
          <w:p>
            <w:pPr>
              <w:spacing w:line="432" w:lineRule="auto"/>
              <w:rPr>
                <w:rFonts w:ascii="宋体" w:hAnsi="宋体"/>
                <w:sz w:val="24"/>
              </w:rPr>
            </w:pPr>
          </w:p>
        </w:tc>
        <w:tc>
          <w:tcPr>
            <w:tcW w:w="1470" w:type="dxa"/>
          </w:tcPr>
          <w:p>
            <w:pPr>
              <w:spacing w:line="432" w:lineRule="auto"/>
              <w:rPr>
                <w:rFonts w:ascii="宋体" w:hAnsi="宋体"/>
                <w:sz w:val="24"/>
              </w:rPr>
            </w:pPr>
          </w:p>
        </w:tc>
        <w:tc>
          <w:tcPr>
            <w:tcW w:w="1817" w:type="dxa"/>
          </w:tcPr>
          <w:p>
            <w:pPr>
              <w:spacing w:line="432" w:lineRule="auto"/>
              <w:rPr>
                <w:rFonts w:ascii="宋体" w:hAnsi="宋体"/>
                <w:sz w:val="24"/>
              </w:rPr>
            </w:pPr>
          </w:p>
        </w:tc>
        <w:tc>
          <w:tcPr>
            <w:tcW w:w="1124" w:type="dxa"/>
          </w:tcPr>
          <w:p>
            <w:pPr>
              <w:spacing w:line="432" w:lineRule="auto"/>
              <w:rPr>
                <w:rFonts w:ascii="宋体" w:hAnsi="宋体"/>
                <w:sz w:val="24"/>
              </w:rPr>
            </w:pPr>
          </w:p>
        </w:tc>
        <w:tc>
          <w:tcPr>
            <w:tcW w:w="1471" w:type="dxa"/>
          </w:tcPr>
          <w:p>
            <w:pPr>
              <w:spacing w:line="43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宋体" w:hAnsi="宋体"/>
                <w:sz w:val="24"/>
              </w:rPr>
            </w:pPr>
          </w:p>
        </w:tc>
        <w:tc>
          <w:tcPr>
            <w:tcW w:w="1471" w:type="dxa"/>
          </w:tcPr>
          <w:p>
            <w:pPr>
              <w:spacing w:line="432" w:lineRule="auto"/>
              <w:rPr>
                <w:rFonts w:ascii="宋体" w:hAnsi="宋体"/>
                <w:sz w:val="24"/>
              </w:rPr>
            </w:pPr>
          </w:p>
        </w:tc>
        <w:tc>
          <w:tcPr>
            <w:tcW w:w="1470" w:type="dxa"/>
          </w:tcPr>
          <w:p>
            <w:pPr>
              <w:spacing w:line="432" w:lineRule="auto"/>
              <w:rPr>
                <w:rFonts w:ascii="宋体" w:hAnsi="宋体"/>
                <w:sz w:val="24"/>
              </w:rPr>
            </w:pPr>
          </w:p>
        </w:tc>
        <w:tc>
          <w:tcPr>
            <w:tcW w:w="1817" w:type="dxa"/>
          </w:tcPr>
          <w:p>
            <w:pPr>
              <w:spacing w:line="432" w:lineRule="auto"/>
              <w:rPr>
                <w:rFonts w:ascii="宋体" w:hAnsi="宋体"/>
                <w:sz w:val="24"/>
              </w:rPr>
            </w:pPr>
          </w:p>
        </w:tc>
        <w:tc>
          <w:tcPr>
            <w:tcW w:w="1124" w:type="dxa"/>
          </w:tcPr>
          <w:p>
            <w:pPr>
              <w:spacing w:line="432" w:lineRule="auto"/>
              <w:rPr>
                <w:rFonts w:ascii="宋体" w:hAnsi="宋体"/>
                <w:sz w:val="24"/>
              </w:rPr>
            </w:pPr>
          </w:p>
        </w:tc>
        <w:tc>
          <w:tcPr>
            <w:tcW w:w="1471" w:type="dxa"/>
          </w:tcPr>
          <w:p>
            <w:pPr>
              <w:spacing w:line="43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宋体" w:hAnsi="宋体"/>
                <w:sz w:val="24"/>
              </w:rPr>
            </w:pPr>
          </w:p>
        </w:tc>
        <w:tc>
          <w:tcPr>
            <w:tcW w:w="1471" w:type="dxa"/>
          </w:tcPr>
          <w:p>
            <w:pPr>
              <w:spacing w:line="432" w:lineRule="auto"/>
              <w:rPr>
                <w:rFonts w:ascii="宋体" w:hAnsi="宋体"/>
                <w:sz w:val="24"/>
              </w:rPr>
            </w:pPr>
          </w:p>
        </w:tc>
        <w:tc>
          <w:tcPr>
            <w:tcW w:w="1470" w:type="dxa"/>
          </w:tcPr>
          <w:p>
            <w:pPr>
              <w:spacing w:line="432" w:lineRule="auto"/>
              <w:rPr>
                <w:rFonts w:ascii="宋体" w:hAnsi="宋体"/>
                <w:sz w:val="24"/>
              </w:rPr>
            </w:pPr>
          </w:p>
        </w:tc>
        <w:tc>
          <w:tcPr>
            <w:tcW w:w="1817" w:type="dxa"/>
          </w:tcPr>
          <w:p>
            <w:pPr>
              <w:spacing w:line="432" w:lineRule="auto"/>
              <w:rPr>
                <w:rFonts w:ascii="宋体" w:hAnsi="宋体"/>
                <w:sz w:val="24"/>
              </w:rPr>
            </w:pPr>
          </w:p>
        </w:tc>
        <w:tc>
          <w:tcPr>
            <w:tcW w:w="1124" w:type="dxa"/>
          </w:tcPr>
          <w:p>
            <w:pPr>
              <w:spacing w:line="432" w:lineRule="auto"/>
              <w:rPr>
                <w:rFonts w:ascii="宋体" w:hAnsi="宋体"/>
                <w:sz w:val="24"/>
              </w:rPr>
            </w:pPr>
          </w:p>
        </w:tc>
        <w:tc>
          <w:tcPr>
            <w:tcW w:w="1471" w:type="dxa"/>
          </w:tcPr>
          <w:p>
            <w:pPr>
              <w:spacing w:line="43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宋体" w:hAnsi="宋体"/>
                <w:sz w:val="24"/>
              </w:rPr>
            </w:pPr>
          </w:p>
        </w:tc>
        <w:tc>
          <w:tcPr>
            <w:tcW w:w="1471" w:type="dxa"/>
          </w:tcPr>
          <w:p>
            <w:pPr>
              <w:spacing w:line="432" w:lineRule="auto"/>
              <w:rPr>
                <w:rFonts w:ascii="宋体" w:hAnsi="宋体"/>
                <w:sz w:val="24"/>
              </w:rPr>
            </w:pPr>
          </w:p>
        </w:tc>
        <w:tc>
          <w:tcPr>
            <w:tcW w:w="1470" w:type="dxa"/>
          </w:tcPr>
          <w:p>
            <w:pPr>
              <w:spacing w:line="432" w:lineRule="auto"/>
              <w:rPr>
                <w:rFonts w:ascii="宋体" w:hAnsi="宋体"/>
                <w:sz w:val="24"/>
              </w:rPr>
            </w:pPr>
          </w:p>
        </w:tc>
        <w:tc>
          <w:tcPr>
            <w:tcW w:w="1817" w:type="dxa"/>
          </w:tcPr>
          <w:p>
            <w:pPr>
              <w:spacing w:line="432" w:lineRule="auto"/>
              <w:rPr>
                <w:rFonts w:ascii="宋体" w:hAnsi="宋体"/>
                <w:sz w:val="24"/>
              </w:rPr>
            </w:pPr>
          </w:p>
        </w:tc>
        <w:tc>
          <w:tcPr>
            <w:tcW w:w="1124" w:type="dxa"/>
          </w:tcPr>
          <w:p>
            <w:pPr>
              <w:spacing w:line="432" w:lineRule="auto"/>
              <w:rPr>
                <w:rFonts w:ascii="宋体" w:hAnsi="宋体"/>
                <w:sz w:val="24"/>
              </w:rPr>
            </w:pPr>
          </w:p>
        </w:tc>
        <w:tc>
          <w:tcPr>
            <w:tcW w:w="1471" w:type="dxa"/>
          </w:tcPr>
          <w:p>
            <w:pPr>
              <w:spacing w:line="43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70" w:type="dxa"/>
          </w:tcPr>
          <w:p>
            <w:pPr>
              <w:spacing w:line="432" w:lineRule="auto"/>
              <w:rPr>
                <w:rFonts w:ascii="宋体" w:hAnsi="宋体"/>
                <w:sz w:val="24"/>
              </w:rPr>
            </w:pPr>
          </w:p>
        </w:tc>
        <w:tc>
          <w:tcPr>
            <w:tcW w:w="1471" w:type="dxa"/>
          </w:tcPr>
          <w:p>
            <w:pPr>
              <w:spacing w:line="432" w:lineRule="auto"/>
              <w:rPr>
                <w:rFonts w:ascii="宋体" w:hAnsi="宋体"/>
                <w:sz w:val="24"/>
              </w:rPr>
            </w:pPr>
          </w:p>
        </w:tc>
        <w:tc>
          <w:tcPr>
            <w:tcW w:w="1470" w:type="dxa"/>
          </w:tcPr>
          <w:p>
            <w:pPr>
              <w:spacing w:line="432" w:lineRule="auto"/>
              <w:rPr>
                <w:rFonts w:ascii="宋体" w:hAnsi="宋体"/>
                <w:sz w:val="24"/>
              </w:rPr>
            </w:pPr>
          </w:p>
        </w:tc>
        <w:tc>
          <w:tcPr>
            <w:tcW w:w="1817" w:type="dxa"/>
          </w:tcPr>
          <w:p>
            <w:pPr>
              <w:spacing w:line="432" w:lineRule="auto"/>
              <w:rPr>
                <w:rFonts w:ascii="宋体" w:hAnsi="宋体"/>
                <w:sz w:val="24"/>
              </w:rPr>
            </w:pPr>
          </w:p>
        </w:tc>
        <w:tc>
          <w:tcPr>
            <w:tcW w:w="1124" w:type="dxa"/>
          </w:tcPr>
          <w:p>
            <w:pPr>
              <w:spacing w:line="432" w:lineRule="auto"/>
              <w:rPr>
                <w:rFonts w:ascii="宋体" w:hAnsi="宋体"/>
                <w:sz w:val="24"/>
              </w:rPr>
            </w:pPr>
          </w:p>
        </w:tc>
        <w:tc>
          <w:tcPr>
            <w:tcW w:w="1471" w:type="dxa"/>
          </w:tcPr>
          <w:p>
            <w:pPr>
              <w:spacing w:line="43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宋体" w:hAnsi="宋体"/>
                <w:sz w:val="24"/>
              </w:rPr>
            </w:pPr>
          </w:p>
        </w:tc>
        <w:tc>
          <w:tcPr>
            <w:tcW w:w="1471" w:type="dxa"/>
          </w:tcPr>
          <w:p>
            <w:pPr>
              <w:spacing w:line="432" w:lineRule="auto"/>
              <w:rPr>
                <w:rFonts w:ascii="宋体" w:hAnsi="宋体"/>
                <w:sz w:val="24"/>
              </w:rPr>
            </w:pPr>
          </w:p>
        </w:tc>
        <w:tc>
          <w:tcPr>
            <w:tcW w:w="1470" w:type="dxa"/>
          </w:tcPr>
          <w:p>
            <w:pPr>
              <w:spacing w:line="432" w:lineRule="auto"/>
              <w:rPr>
                <w:rFonts w:ascii="宋体" w:hAnsi="宋体"/>
                <w:sz w:val="24"/>
              </w:rPr>
            </w:pPr>
          </w:p>
        </w:tc>
        <w:tc>
          <w:tcPr>
            <w:tcW w:w="1817" w:type="dxa"/>
          </w:tcPr>
          <w:p>
            <w:pPr>
              <w:spacing w:line="432" w:lineRule="auto"/>
              <w:rPr>
                <w:rFonts w:ascii="宋体" w:hAnsi="宋体"/>
                <w:sz w:val="24"/>
              </w:rPr>
            </w:pPr>
          </w:p>
        </w:tc>
        <w:tc>
          <w:tcPr>
            <w:tcW w:w="1124" w:type="dxa"/>
          </w:tcPr>
          <w:p>
            <w:pPr>
              <w:spacing w:line="432" w:lineRule="auto"/>
              <w:rPr>
                <w:rFonts w:ascii="宋体" w:hAnsi="宋体"/>
                <w:sz w:val="24"/>
              </w:rPr>
            </w:pPr>
          </w:p>
        </w:tc>
        <w:tc>
          <w:tcPr>
            <w:tcW w:w="1471" w:type="dxa"/>
          </w:tcPr>
          <w:p>
            <w:pPr>
              <w:spacing w:line="43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宋体" w:hAnsi="宋体"/>
                <w:sz w:val="24"/>
              </w:rPr>
            </w:pPr>
          </w:p>
        </w:tc>
        <w:tc>
          <w:tcPr>
            <w:tcW w:w="1471" w:type="dxa"/>
          </w:tcPr>
          <w:p>
            <w:pPr>
              <w:spacing w:line="432" w:lineRule="auto"/>
              <w:rPr>
                <w:rFonts w:ascii="宋体" w:hAnsi="宋体"/>
                <w:sz w:val="24"/>
              </w:rPr>
            </w:pPr>
          </w:p>
        </w:tc>
        <w:tc>
          <w:tcPr>
            <w:tcW w:w="1470" w:type="dxa"/>
          </w:tcPr>
          <w:p>
            <w:pPr>
              <w:spacing w:line="432" w:lineRule="auto"/>
              <w:rPr>
                <w:rFonts w:ascii="宋体" w:hAnsi="宋体"/>
                <w:sz w:val="24"/>
              </w:rPr>
            </w:pPr>
          </w:p>
        </w:tc>
        <w:tc>
          <w:tcPr>
            <w:tcW w:w="1817" w:type="dxa"/>
          </w:tcPr>
          <w:p>
            <w:pPr>
              <w:spacing w:line="432" w:lineRule="auto"/>
              <w:rPr>
                <w:rFonts w:ascii="宋体" w:hAnsi="宋体"/>
                <w:sz w:val="24"/>
              </w:rPr>
            </w:pPr>
          </w:p>
        </w:tc>
        <w:tc>
          <w:tcPr>
            <w:tcW w:w="1124" w:type="dxa"/>
          </w:tcPr>
          <w:p>
            <w:pPr>
              <w:spacing w:line="432" w:lineRule="auto"/>
              <w:rPr>
                <w:rFonts w:ascii="宋体" w:hAnsi="宋体"/>
                <w:sz w:val="24"/>
              </w:rPr>
            </w:pPr>
          </w:p>
        </w:tc>
        <w:tc>
          <w:tcPr>
            <w:tcW w:w="1471" w:type="dxa"/>
          </w:tcPr>
          <w:p>
            <w:pPr>
              <w:spacing w:line="432" w:lineRule="auto"/>
              <w:rPr>
                <w:rFonts w:ascii="宋体" w:hAnsi="宋体"/>
                <w:sz w:val="24"/>
              </w:rPr>
            </w:pPr>
          </w:p>
        </w:tc>
      </w:tr>
    </w:tbl>
    <w:p>
      <w:pPr>
        <w:spacing w:line="432" w:lineRule="auto"/>
        <w:rPr>
          <w:rFonts w:ascii="宋体" w:hAnsi="宋体"/>
          <w:sz w:val="24"/>
          <w:szCs w:val="24"/>
        </w:rPr>
      </w:pPr>
      <w:r>
        <w:rPr>
          <w:rFonts w:hint="eastAsia" w:ascii="宋体" w:hAnsi="宋体"/>
          <w:sz w:val="24"/>
        </w:rPr>
        <w:t>注：1、</w:t>
      </w:r>
      <w:r>
        <w:rPr>
          <w:rFonts w:hint="eastAsia" w:ascii="宋体" w:hAnsi="宋体"/>
          <w:sz w:val="24"/>
          <w:szCs w:val="24"/>
        </w:rPr>
        <w:t>响应/偏离内容应在说明栏中说明该条款在响应文件中（或页码）的依据；</w:t>
      </w:r>
    </w:p>
    <w:p>
      <w:pPr>
        <w:spacing w:line="432" w:lineRule="auto"/>
        <w:ind w:firstLine="480" w:firstLineChars="200"/>
        <w:rPr>
          <w:rFonts w:ascii="宋体" w:hAnsi="宋体"/>
          <w:sz w:val="24"/>
        </w:rPr>
      </w:pPr>
      <w:r>
        <w:rPr>
          <w:rFonts w:hint="eastAsia" w:ascii="宋体" w:hAnsi="宋体"/>
          <w:sz w:val="24"/>
          <w:szCs w:val="24"/>
        </w:rPr>
        <w:t>2、</w:t>
      </w:r>
      <w:r>
        <w:rPr>
          <w:rFonts w:hint="eastAsia" w:ascii="宋体" w:hAnsi="宋体"/>
          <w:sz w:val="24"/>
        </w:rPr>
        <w:t>供应商不按上述表格填写，所产生的一切后果由供应商承担。</w:t>
      </w:r>
    </w:p>
    <w:p>
      <w:pPr>
        <w:spacing w:line="432" w:lineRule="auto"/>
        <w:rPr>
          <w:rFonts w:ascii="宋体" w:hAnsi="宋体"/>
          <w:sz w:val="24"/>
        </w:rPr>
      </w:pPr>
    </w:p>
    <w:p>
      <w:pPr>
        <w:spacing w:line="432" w:lineRule="auto"/>
        <w:rPr>
          <w:rFonts w:ascii="宋体" w:hAnsi="宋体"/>
          <w:sz w:val="24"/>
          <w:u w:val="single"/>
        </w:rPr>
      </w:pPr>
      <w:r>
        <w:rPr>
          <w:rFonts w:hint="eastAsia" w:ascii="宋体" w:hAnsi="宋体"/>
          <w:sz w:val="24"/>
        </w:rPr>
        <w:t>供应商盖章：</w:t>
      </w:r>
    </w:p>
    <w:p>
      <w:pPr>
        <w:spacing w:line="432" w:lineRule="auto"/>
        <w:rPr>
          <w:rFonts w:ascii="宋体"/>
          <w:sz w:val="24"/>
          <w:u w:val="single"/>
        </w:rPr>
      </w:pPr>
    </w:p>
    <w:p>
      <w:pPr>
        <w:pStyle w:val="7"/>
        <w:spacing w:line="360" w:lineRule="auto"/>
        <w:jc w:val="center"/>
        <w:rPr>
          <w:rFonts w:hAnsi="宋体" w:cs="宋体"/>
        </w:rPr>
      </w:pPr>
      <w:bookmarkStart w:id="83" w:name="_Toc48722671"/>
      <w:bookmarkStart w:id="84" w:name="_Toc14006"/>
      <w:r>
        <w:rPr>
          <w:rFonts w:hint="eastAsia" w:ascii="宋体" w:hAnsi="宋体"/>
          <w:sz w:val="30"/>
          <w:szCs w:val="30"/>
        </w:rPr>
        <w:t>格式</w:t>
      </w:r>
      <w:r>
        <w:rPr>
          <w:rFonts w:hint="eastAsia" w:hAnsi="宋体" w:cs="宋体"/>
          <w:sz w:val="30"/>
          <w:szCs w:val="30"/>
        </w:rPr>
        <w:t>4．</w:t>
      </w:r>
      <w:r>
        <w:rPr>
          <w:rFonts w:hint="eastAsia" w:hAnsi="宋体" w:cs="宋体"/>
        </w:rPr>
        <w:t>供应商的资格声明</w:t>
      </w:r>
      <w:r>
        <w:rPr>
          <w:rFonts w:hint="eastAsia" w:hAnsi="宋体" w:cs="宋体"/>
          <w:sz w:val="30"/>
          <w:szCs w:val="30"/>
        </w:rPr>
        <w:t>*</w:t>
      </w:r>
      <w:bookmarkEnd w:id="83"/>
    </w:p>
    <w:p>
      <w:pPr>
        <w:rPr>
          <w:rFonts w:ascii="宋体" w:hAnsi="宋体" w:cs="宋体"/>
        </w:rPr>
      </w:pPr>
    </w:p>
    <w:p>
      <w:pPr>
        <w:rPr>
          <w:rFonts w:ascii="宋体" w:hAnsi="宋体" w:cs="宋体"/>
        </w:rPr>
      </w:pPr>
    </w:p>
    <w:p>
      <w:pPr>
        <w:spacing w:beforeLines="50" w:line="500" w:lineRule="exact"/>
        <w:rPr>
          <w:rFonts w:ascii="宋体" w:hAnsi="宋体" w:cs="宋体"/>
          <w:b/>
          <w:sz w:val="28"/>
          <w:szCs w:val="28"/>
        </w:rPr>
      </w:pPr>
      <w:r>
        <w:rPr>
          <w:rFonts w:hint="eastAsia" w:ascii="宋体" w:hAnsi="宋体" w:cs="宋体"/>
          <w:b/>
          <w:sz w:val="28"/>
          <w:szCs w:val="28"/>
        </w:rPr>
        <w:t>致：南昌大学附属口腔医院</w:t>
      </w:r>
    </w:p>
    <w:p>
      <w:pPr>
        <w:spacing w:beforeLines="50" w:line="500" w:lineRule="exact"/>
        <w:ind w:firstLine="480" w:firstLineChars="200"/>
        <w:rPr>
          <w:rFonts w:ascii="宋体" w:hAnsi="宋体" w:cs="宋体"/>
          <w:sz w:val="24"/>
          <w:szCs w:val="24"/>
        </w:rPr>
      </w:pPr>
      <w:r>
        <w:rPr>
          <w:rFonts w:hint="eastAsia" w:ascii="宋体" w:hAnsi="宋体" w:cs="宋体"/>
          <w:sz w:val="24"/>
          <w:szCs w:val="24"/>
        </w:rPr>
        <w:t>我们（供应商全称）愿意对沙盘制作采购</w:t>
      </w:r>
      <w:r>
        <w:rPr>
          <w:rFonts w:hint="eastAsia" w:ascii="宋体" w:hAnsi="宋体" w:cs="宋体"/>
          <w:bCs/>
          <w:sz w:val="24"/>
          <w:szCs w:val="24"/>
        </w:rPr>
        <w:t>进行</w:t>
      </w:r>
      <w:r>
        <w:rPr>
          <w:rFonts w:hint="eastAsia" w:ascii="宋体" w:hAnsi="宋体" w:cs="宋体"/>
          <w:sz w:val="24"/>
          <w:szCs w:val="24"/>
        </w:rPr>
        <w:t>采购响应。并在此声明，采购响应文件中所有关于供应商资格的文件材料、证明、陈述均是真实、准确的。如果发现此类文件材料、证明、陈述与事实不符，我方将承担由此而产生的一切后果。</w:t>
      </w:r>
    </w:p>
    <w:p>
      <w:pPr>
        <w:spacing w:beforeLines="50" w:line="500" w:lineRule="exact"/>
        <w:ind w:firstLine="480" w:firstLineChars="200"/>
        <w:rPr>
          <w:rFonts w:ascii="宋体" w:hAnsi="宋体" w:cs="宋体"/>
          <w:sz w:val="24"/>
          <w:szCs w:val="24"/>
        </w:rPr>
      </w:pPr>
      <w:r>
        <w:rPr>
          <w:rFonts w:hint="eastAsia" w:ascii="宋体" w:hAnsi="宋体" w:cs="宋体"/>
          <w:sz w:val="24"/>
          <w:szCs w:val="24"/>
        </w:rPr>
        <w:t>特此声明!</w:t>
      </w:r>
    </w:p>
    <w:p>
      <w:pPr>
        <w:spacing w:beforeLines="50" w:line="500" w:lineRule="exact"/>
        <w:ind w:firstLine="480" w:firstLineChars="200"/>
        <w:rPr>
          <w:rFonts w:ascii="宋体" w:hAnsi="宋体" w:cs="宋体"/>
          <w:sz w:val="24"/>
          <w:szCs w:val="24"/>
        </w:rPr>
      </w:pPr>
    </w:p>
    <w:p>
      <w:pPr>
        <w:spacing w:beforeLines="50" w:line="500" w:lineRule="exact"/>
        <w:ind w:firstLine="480" w:firstLineChars="200"/>
        <w:rPr>
          <w:rFonts w:ascii="宋体" w:hAnsi="宋体" w:cs="宋体"/>
          <w:sz w:val="24"/>
          <w:szCs w:val="24"/>
        </w:rPr>
      </w:pPr>
    </w:p>
    <w:p>
      <w:pPr>
        <w:spacing w:beforeLines="50" w:line="500" w:lineRule="exact"/>
        <w:ind w:firstLine="480" w:firstLineChars="200"/>
        <w:rPr>
          <w:rFonts w:ascii="宋体" w:hAnsi="宋体" w:cs="宋体"/>
          <w:sz w:val="24"/>
          <w:szCs w:val="24"/>
        </w:rPr>
      </w:pPr>
    </w:p>
    <w:p>
      <w:pPr>
        <w:spacing w:beforeLines="50" w:line="500" w:lineRule="exact"/>
        <w:rPr>
          <w:rFonts w:ascii="宋体" w:hAnsi="宋体" w:cs="宋体"/>
          <w:sz w:val="24"/>
          <w:szCs w:val="24"/>
        </w:rPr>
      </w:pPr>
    </w:p>
    <w:p>
      <w:pPr>
        <w:spacing w:beforeLines="50" w:line="500" w:lineRule="exact"/>
        <w:ind w:firstLine="480" w:firstLineChars="200"/>
        <w:rPr>
          <w:rFonts w:ascii="宋体" w:hAnsi="宋体" w:cs="宋体"/>
          <w:sz w:val="24"/>
          <w:szCs w:val="24"/>
        </w:rPr>
      </w:pPr>
    </w:p>
    <w:p>
      <w:pPr>
        <w:spacing w:beforeLines="50" w:line="500" w:lineRule="exact"/>
        <w:ind w:firstLine="480" w:firstLineChars="200"/>
        <w:rPr>
          <w:rFonts w:ascii="宋体" w:hAnsi="宋体" w:cs="宋体"/>
          <w:sz w:val="24"/>
          <w:szCs w:val="24"/>
        </w:rPr>
      </w:pPr>
    </w:p>
    <w:p>
      <w:pPr>
        <w:spacing w:line="432" w:lineRule="auto"/>
        <w:rPr>
          <w:rFonts w:ascii="宋体" w:hAnsi="宋体" w:cs="宋体"/>
          <w:sz w:val="24"/>
          <w:szCs w:val="24"/>
        </w:rPr>
      </w:pPr>
      <w:r>
        <w:rPr>
          <w:rFonts w:hint="eastAsia" w:ascii="宋体" w:hAnsi="宋体" w:cs="宋体"/>
          <w:sz w:val="24"/>
          <w:szCs w:val="24"/>
        </w:rPr>
        <w:t>采购响应供应商</w:t>
      </w:r>
      <w:r>
        <w:rPr>
          <w:rFonts w:hint="eastAsia" w:ascii="宋体" w:hAnsi="宋体" w:cs="宋体"/>
          <w:snapToGrid w:val="0"/>
          <w:kern w:val="0"/>
          <w:sz w:val="24"/>
          <w:szCs w:val="24"/>
        </w:rPr>
        <w:t>名称（盖章）：</w:t>
      </w:r>
    </w:p>
    <w:p>
      <w:pPr>
        <w:spacing w:beforeLines="50" w:line="500" w:lineRule="exact"/>
        <w:rPr>
          <w:rFonts w:ascii="宋体" w:hAnsi="宋体" w:cs="宋体"/>
          <w:sz w:val="24"/>
          <w:szCs w:val="24"/>
          <w:u w:val="single"/>
        </w:rPr>
      </w:pPr>
      <w:r>
        <w:rPr>
          <w:rFonts w:hint="eastAsia" w:ascii="宋体" w:hAnsi="宋体" w:cs="宋体"/>
          <w:sz w:val="24"/>
          <w:szCs w:val="24"/>
        </w:rPr>
        <w:t>被授权人（签字）：</w:t>
      </w:r>
    </w:p>
    <w:p>
      <w:pPr>
        <w:spacing w:beforeLines="50" w:line="500" w:lineRule="exact"/>
        <w:rPr>
          <w:rFonts w:ascii="宋体" w:hAnsi="宋体" w:cs="宋体"/>
          <w:sz w:val="24"/>
          <w:szCs w:val="24"/>
          <w:u w:val="single"/>
        </w:rPr>
      </w:pPr>
    </w:p>
    <w:p>
      <w:pPr>
        <w:spacing w:beforeLines="50" w:line="500" w:lineRule="exact"/>
        <w:rPr>
          <w:rFonts w:ascii="宋体" w:hAnsi="宋体" w:cs="宋体"/>
          <w:sz w:val="24"/>
          <w:szCs w:val="24"/>
          <w:u w:val="single"/>
        </w:rPr>
      </w:pPr>
    </w:p>
    <w:p>
      <w:pPr>
        <w:spacing w:beforeLines="50" w:line="500" w:lineRule="exact"/>
        <w:jc w:val="right"/>
        <w:rPr>
          <w:rFonts w:ascii="宋体" w:hAnsi="宋体" w:cs="宋体"/>
          <w:sz w:val="24"/>
          <w:szCs w:val="24"/>
        </w:rPr>
      </w:pPr>
      <w:r>
        <w:rPr>
          <w:rFonts w:hint="eastAsia" w:ascii="宋体" w:hAnsi="宋体" w:cs="宋体"/>
          <w:sz w:val="24"/>
          <w:szCs w:val="24"/>
        </w:rPr>
        <w:t>日    期：    年      月     日</w:t>
      </w:r>
    </w:p>
    <w:p>
      <w:pPr>
        <w:pStyle w:val="7"/>
        <w:spacing w:line="360" w:lineRule="auto"/>
        <w:jc w:val="center"/>
        <w:rPr>
          <w:rFonts w:hAnsi="宋体" w:cs="宋体"/>
          <w:sz w:val="30"/>
          <w:szCs w:val="30"/>
        </w:rPr>
      </w:pPr>
      <w:bookmarkStart w:id="85" w:name="_Toc360455216"/>
      <w:bookmarkStart w:id="86" w:name="_Toc4338"/>
      <w:bookmarkStart w:id="87" w:name="_Toc19153"/>
      <w:bookmarkStart w:id="88" w:name="_Toc24396"/>
      <w:bookmarkStart w:id="89" w:name="_Toc16582"/>
      <w:bookmarkStart w:id="90" w:name="_Toc23809"/>
      <w:bookmarkStart w:id="91" w:name="_Toc16625"/>
      <w:bookmarkStart w:id="92" w:name="_Toc10416"/>
      <w:bookmarkStart w:id="93" w:name="_Toc319584580"/>
      <w:r>
        <w:rPr>
          <w:rFonts w:hint="eastAsia" w:hAnsi="宋体" w:cs="宋体"/>
        </w:rPr>
        <w:br w:type="column"/>
      </w:r>
      <w:bookmarkStart w:id="94" w:name="_Toc21769522"/>
      <w:bookmarkStart w:id="95" w:name="_Toc48722672"/>
      <w:r>
        <w:rPr>
          <w:rFonts w:hint="eastAsia" w:ascii="宋体" w:hAnsi="宋体"/>
          <w:sz w:val="30"/>
          <w:szCs w:val="30"/>
        </w:rPr>
        <w:t>格式</w:t>
      </w:r>
      <w:r>
        <w:rPr>
          <w:rFonts w:hint="eastAsia" w:hAnsi="宋体" w:cs="宋体"/>
        </w:rPr>
        <w:t>4-1　法定代表人</w:t>
      </w:r>
      <w:r>
        <w:rPr>
          <w:rFonts w:hint="eastAsia" w:hAnsi="宋体" w:cs="宋体"/>
          <w:sz w:val="30"/>
          <w:szCs w:val="30"/>
        </w:rPr>
        <w:t>授权书（格式）*</w:t>
      </w:r>
      <w:bookmarkEnd w:id="85"/>
      <w:bookmarkEnd w:id="86"/>
      <w:bookmarkEnd w:id="87"/>
      <w:bookmarkEnd w:id="88"/>
      <w:bookmarkEnd w:id="89"/>
      <w:bookmarkEnd w:id="90"/>
      <w:bookmarkEnd w:id="91"/>
      <w:bookmarkEnd w:id="92"/>
      <w:bookmarkEnd w:id="94"/>
      <w:bookmarkEnd w:id="95"/>
    </w:p>
    <w:p>
      <w:pPr>
        <w:rPr>
          <w:rFonts w:ascii="宋体" w:hAnsi="宋体" w:cs="宋体"/>
        </w:rPr>
      </w:pPr>
    </w:p>
    <w:p>
      <w:pPr>
        <w:spacing w:line="480" w:lineRule="auto"/>
        <w:ind w:firstLine="645"/>
        <w:rPr>
          <w:rFonts w:ascii="宋体" w:hAnsi="宋体" w:cs="宋体"/>
          <w:sz w:val="24"/>
          <w:szCs w:val="24"/>
        </w:rPr>
      </w:pPr>
      <w:r>
        <w:rPr>
          <w:rFonts w:hint="eastAsia" w:ascii="宋体" w:hAnsi="宋体" w:cs="宋体"/>
          <w:sz w:val="24"/>
          <w:szCs w:val="24"/>
        </w:rPr>
        <w:t>本授权书声明：公司的（法定代表人姓名、职务）代表本公司授权（被授权人的姓名、职务）为本公司的合法代理人，参加（采购人）采购项目的采购响应、合同签订，以及合同执行等活动，其可以本公司名义处理一切与之有关的事务。</w:t>
      </w:r>
    </w:p>
    <w:p>
      <w:pPr>
        <w:spacing w:line="480" w:lineRule="auto"/>
        <w:ind w:firstLine="645"/>
        <w:rPr>
          <w:rFonts w:ascii="宋体" w:hAnsi="宋体" w:cs="宋体"/>
          <w:sz w:val="24"/>
          <w:szCs w:val="24"/>
        </w:rPr>
      </w:pPr>
      <w:r>
        <w:rPr>
          <w:rFonts w:hint="eastAsia" w:ascii="宋体" w:hAnsi="宋体" w:cs="宋体"/>
          <w:sz w:val="24"/>
          <w:szCs w:val="24"/>
        </w:rPr>
        <w:t>特此声明。</w:t>
      </w:r>
    </w:p>
    <w:p>
      <w:pPr>
        <w:spacing w:line="480" w:lineRule="auto"/>
        <w:ind w:firstLine="645"/>
        <w:rPr>
          <w:rFonts w:ascii="宋体" w:hAnsi="宋体" w:cs="宋体"/>
          <w:sz w:val="24"/>
          <w:szCs w:val="24"/>
        </w:rPr>
      </w:pPr>
    </w:p>
    <w:p>
      <w:pPr>
        <w:spacing w:line="360" w:lineRule="auto"/>
        <w:ind w:firstLine="645"/>
        <w:rPr>
          <w:rFonts w:ascii="宋体" w:hAnsi="宋体" w:cs="宋体"/>
          <w:sz w:val="24"/>
          <w:szCs w:val="24"/>
          <w:u w:val="single"/>
        </w:rPr>
      </w:pPr>
      <w:r>
        <w:rPr>
          <w:rFonts w:hint="eastAsia" w:ascii="宋体" w:hAnsi="宋体" w:cs="宋体"/>
          <w:sz w:val="24"/>
          <w:szCs w:val="24"/>
        </w:rPr>
        <w:t>法定代表人签字：</w:t>
      </w:r>
    </w:p>
    <w:p>
      <w:pPr>
        <w:spacing w:line="360" w:lineRule="auto"/>
        <w:ind w:firstLine="645"/>
        <w:rPr>
          <w:rFonts w:ascii="宋体" w:hAnsi="宋体" w:cs="宋体"/>
          <w:sz w:val="24"/>
          <w:szCs w:val="24"/>
          <w:u w:val="single"/>
        </w:rPr>
      </w:pPr>
      <w:r>
        <w:rPr>
          <w:rFonts w:hint="eastAsia" w:ascii="宋体" w:hAnsi="宋体" w:cs="宋体"/>
          <w:sz w:val="24"/>
          <w:szCs w:val="24"/>
        </w:rPr>
        <w:t>职务：</w:t>
      </w:r>
    </w:p>
    <w:p>
      <w:pPr>
        <w:spacing w:line="360" w:lineRule="auto"/>
        <w:ind w:firstLine="645"/>
        <w:rPr>
          <w:rFonts w:ascii="宋体" w:hAnsi="宋体" w:cs="宋体"/>
          <w:sz w:val="24"/>
          <w:szCs w:val="24"/>
        </w:rPr>
      </w:pPr>
      <w:r>
        <w:rPr>
          <w:rFonts w:hint="eastAsia" w:ascii="宋体" w:hAnsi="宋体" w:cs="宋体"/>
          <w:sz w:val="24"/>
          <w:szCs w:val="24"/>
        </w:rPr>
        <w:t>被授权人签字：</w:t>
      </w:r>
    </w:p>
    <w:p>
      <w:pPr>
        <w:spacing w:line="360" w:lineRule="auto"/>
        <w:ind w:firstLine="645"/>
        <w:rPr>
          <w:rFonts w:ascii="宋体" w:hAnsi="宋体" w:cs="宋体"/>
          <w:sz w:val="24"/>
          <w:szCs w:val="24"/>
        </w:rPr>
      </w:pPr>
      <w:r>
        <w:rPr>
          <w:rFonts w:hint="eastAsia" w:ascii="宋体" w:hAnsi="宋体" w:cs="宋体"/>
          <w:sz w:val="24"/>
          <w:szCs w:val="24"/>
        </w:rPr>
        <w:t>职务：</w:t>
      </w:r>
    </w:p>
    <w:p>
      <w:pPr>
        <w:spacing w:line="360" w:lineRule="auto"/>
        <w:ind w:firstLine="645"/>
        <w:rPr>
          <w:rFonts w:ascii="宋体" w:hAnsi="宋体" w:cs="宋体"/>
          <w:sz w:val="24"/>
          <w:szCs w:val="24"/>
        </w:rPr>
      </w:pPr>
      <w:r>
        <w:rPr>
          <w:rFonts w:hint="eastAsia" w:ascii="宋体" w:hAnsi="宋体" w:cs="宋体"/>
          <w:sz w:val="24"/>
          <w:szCs w:val="24"/>
        </w:rPr>
        <w:t>采购响应人名称(加盖公章)：</w:t>
      </w:r>
    </w:p>
    <w:p>
      <w:pPr>
        <w:spacing w:line="360" w:lineRule="auto"/>
        <w:ind w:firstLine="645"/>
        <w:rPr>
          <w:rFonts w:ascii="宋体" w:hAnsi="宋体" w:cs="宋体"/>
          <w:sz w:val="24"/>
          <w:szCs w:val="24"/>
          <w:u w:val="single"/>
        </w:rPr>
      </w:pPr>
      <w:r>
        <w:rPr>
          <w:rFonts w:hint="eastAsia" w:ascii="宋体" w:hAnsi="宋体" w:cs="宋体"/>
          <w:sz w:val="24"/>
          <w:szCs w:val="24"/>
        </w:rPr>
        <w:t>地址：</w:t>
      </w:r>
    </w:p>
    <w:p>
      <w:pPr>
        <w:spacing w:line="360" w:lineRule="auto"/>
        <w:ind w:firstLine="645"/>
        <w:rPr>
          <w:rFonts w:ascii="宋体" w:hAnsi="宋体" w:cs="宋体"/>
          <w:sz w:val="24"/>
          <w:szCs w:val="24"/>
        </w:rPr>
      </w:pPr>
      <w:r>
        <w:rPr>
          <w:rFonts w:hint="eastAsia" w:ascii="宋体" w:hAnsi="宋体" w:cs="宋体"/>
          <w:sz w:val="24"/>
          <w:szCs w:val="24"/>
        </w:rPr>
        <w:t>日期：</w:t>
      </w:r>
    </w:p>
    <w:p>
      <w:pPr>
        <w:rPr>
          <w:rFonts w:ascii="宋体" w:hAnsi="宋体" w:cs="宋体"/>
        </w:rPr>
      </w:pPr>
    </w:p>
    <w:tbl>
      <w:tblPr>
        <w:tblStyle w:val="16"/>
        <w:tblW w:w="9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9" w:hRule="atLeast"/>
          <w:jc w:val="center"/>
        </w:trPr>
        <w:tc>
          <w:tcPr>
            <w:tcW w:w="9574" w:type="dxa"/>
            <w:noWrap/>
            <w:vAlign w:val="center"/>
          </w:tcPr>
          <w:p>
            <w:pPr>
              <w:jc w:val="center"/>
              <w:rPr>
                <w:rFonts w:ascii="宋体" w:hAnsi="宋体" w:cs="宋体"/>
                <w:sz w:val="24"/>
                <w:szCs w:val="24"/>
              </w:rPr>
            </w:pPr>
            <w:r>
              <w:rPr>
                <w:rFonts w:hint="eastAsia" w:ascii="宋体" w:hAnsi="宋体" w:cs="宋体"/>
                <w:sz w:val="24"/>
                <w:szCs w:val="24"/>
              </w:rPr>
              <w:t>法定代表人身份证、被授权人身份证（正、反面复印件）</w:t>
            </w:r>
          </w:p>
        </w:tc>
      </w:tr>
      <w:bookmarkEnd w:id="93"/>
    </w:tbl>
    <w:p>
      <w:pPr>
        <w:pStyle w:val="6"/>
        <w:spacing w:before="0" w:after="0" w:line="460" w:lineRule="exact"/>
        <w:jc w:val="center"/>
        <w:rPr>
          <w:rFonts w:ascii="宋体" w:hAnsi="宋体" w:eastAsia="宋体"/>
          <w:sz w:val="30"/>
          <w:szCs w:val="30"/>
        </w:rPr>
      </w:pPr>
      <w:bookmarkStart w:id="96" w:name="_Toc48722673"/>
      <w:r>
        <w:rPr>
          <w:rFonts w:hint="eastAsia" w:ascii="宋体" w:hAnsi="宋体" w:eastAsia="宋体"/>
          <w:sz w:val="30"/>
          <w:szCs w:val="30"/>
        </w:rPr>
        <w:t>格式5. 其他证明资料</w:t>
      </w:r>
      <w:bookmarkEnd w:id="82"/>
      <w:bookmarkEnd w:id="84"/>
      <w:bookmarkEnd w:id="96"/>
    </w:p>
    <w:p>
      <w:pPr>
        <w:pStyle w:val="6"/>
        <w:spacing w:before="0" w:after="0" w:line="460" w:lineRule="exact"/>
        <w:jc w:val="center"/>
        <w:rPr>
          <w:rFonts w:ascii="宋体" w:hAnsi="宋体" w:eastAsia="宋体"/>
          <w:sz w:val="24"/>
          <w:szCs w:val="24"/>
        </w:rPr>
      </w:pPr>
    </w:p>
    <w:p>
      <w:pPr>
        <w:spacing w:line="320" w:lineRule="exact"/>
        <w:jc w:val="center"/>
        <w:rPr>
          <w:rFonts w:ascii="宋体" w:hAnsi="宋体"/>
          <w:sz w:val="24"/>
          <w:szCs w:val="24"/>
        </w:rPr>
      </w:pPr>
    </w:p>
    <w:p>
      <w:pPr>
        <w:spacing w:line="432" w:lineRule="auto"/>
        <w:rPr>
          <w:rFonts w:ascii="宋体" w:hAnsi="宋体"/>
          <w:sz w:val="24"/>
        </w:rPr>
        <w:sectPr>
          <w:footerReference r:id="rId9" w:type="default"/>
          <w:footerReference r:id="rId10" w:type="even"/>
          <w:pgSz w:w="11906" w:h="16838"/>
          <w:pgMar w:top="1418" w:right="1247" w:bottom="1418" w:left="1814" w:header="851" w:footer="992" w:gutter="0"/>
          <w:cols w:space="720" w:num="1"/>
          <w:docGrid w:type="lines" w:linePitch="312" w:charSpace="0"/>
        </w:sectPr>
      </w:pPr>
    </w:p>
    <w:p>
      <w:pPr>
        <w:pStyle w:val="6"/>
        <w:spacing w:before="0" w:after="0" w:line="460" w:lineRule="exact"/>
        <w:jc w:val="center"/>
        <w:rPr>
          <w:rFonts w:ascii="宋体" w:hAnsi="宋体" w:eastAsia="宋体"/>
          <w:sz w:val="30"/>
          <w:szCs w:val="30"/>
        </w:rPr>
      </w:pPr>
      <w:bookmarkStart w:id="97" w:name="_Toc498611443"/>
      <w:bookmarkStart w:id="98" w:name="_Toc293934829"/>
      <w:bookmarkStart w:id="99" w:name="_Toc48722674"/>
      <w:bookmarkStart w:id="100" w:name="_Toc1295"/>
      <w:r>
        <w:rPr>
          <w:rFonts w:hint="eastAsia" w:ascii="宋体" w:hAnsi="宋体" w:eastAsia="宋体"/>
          <w:sz w:val="30"/>
          <w:szCs w:val="30"/>
        </w:rPr>
        <w:t>6</w:t>
      </w:r>
      <w:r>
        <w:rPr>
          <w:rFonts w:ascii="宋体" w:hAnsi="宋体" w:eastAsia="宋体"/>
          <w:sz w:val="30"/>
          <w:szCs w:val="30"/>
        </w:rPr>
        <w:t>.</w:t>
      </w:r>
      <w:r>
        <w:rPr>
          <w:rFonts w:hint="eastAsia" w:ascii="宋体" w:hAnsi="宋体" w:eastAsia="宋体"/>
          <w:sz w:val="30"/>
          <w:szCs w:val="30"/>
        </w:rPr>
        <w:t>资格证明文件</w:t>
      </w:r>
      <w:bookmarkEnd w:id="97"/>
      <w:bookmarkEnd w:id="98"/>
      <w:bookmarkEnd w:id="99"/>
      <w:bookmarkEnd w:id="100"/>
    </w:p>
    <w:p>
      <w:pPr>
        <w:spacing w:line="432" w:lineRule="auto"/>
        <w:rPr>
          <w:rFonts w:ascii="宋体" w:hAnsi="宋体"/>
          <w:sz w:val="24"/>
        </w:rPr>
      </w:pPr>
    </w:p>
    <w:p>
      <w:pPr>
        <w:tabs>
          <w:tab w:val="left" w:pos="993"/>
        </w:tabs>
        <w:spacing w:line="400" w:lineRule="exact"/>
        <w:rPr>
          <w:rFonts w:ascii="宋体" w:hAnsi="宋体"/>
          <w:sz w:val="24"/>
        </w:rPr>
      </w:pPr>
      <w:r>
        <w:rPr>
          <w:rFonts w:ascii="宋体" w:hAnsi="宋体"/>
          <w:sz w:val="24"/>
        </w:rPr>
        <w:fldChar w:fldCharType="begin"/>
      </w:r>
      <w:r>
        <w:rPr>
          <w:rFonts w:hint="eastAsia" w:ascii="宋体" w:hAnsi="宋体"/>
          <w:sz w:val="24"/>
        </w:rPr>
        <w:instrText xml:space="preserve">= 1 \* GB3</w:instrText>
      </w:r>
      <w:r>
        <w:rPr>
          <w:rFonts w:ascii="宋体" w:hAnsi="宋体"/>
          <w:sz w:val="24"/>
        </w:rPr>
        <w:fldChar w:fldCharType="separate"/>
      </w:r>
      <w:r>
        <w:rPr>
          <w:rFonts w:hint="eastAsia" w:ascii="宋体" w:hAnsi="宋体"/>
          <w:sz w:val="24"/>
        </w:rPr>
        <w:t>①</w:t>
      </w:r>
      <w:r>
        <w:rPr>
          <w:rFonts w:ascii="宋体" w:hAnsi="宋体"/>
          <w:sz w:val="24"/>
        </w:rPr>
        <w:fldChar w:fldCharType="end"/>
      </w:r>
      <w:r>
        <w:rPr>
          <w:rFonts w:hint="eastAsia" w:ascii="宋体" w:hAnsi="宋体"/>
          <w:sz w:val="24"/>
        </w:rPr>
        <w:t>过有效年检的营业执照副本（三证合一的只需提供营业执照）、税务登记证副本、组织机构代码证副本</w:t>
      </w:r>
    </w:p>
    <w:p>
      <w:pPr>
        <w:tabs>
          <w:tab w:val="left" w:pos="993"/>
        </w:tabs>
        <w:spacing w:line="400" w:lineRule="exact"/>
        <w:rPr>
          <w:rFonts w:ascii="宋体" w:hAnsi="宋体"/>
          <w:b/>
          <w:bCs/>
          <w:sz w:val="24"/>
        </w:rPr>
      </w:pPr>
      <w:r>
        <w:rPr>
          <w:rFonts w:hint="eastAsia" w:ascii="宋体" w:hAnsi="宋体"/>
          <w:b/>
          <w:bCs/>
          <w:sz w:val="24"/>
        </w:rPr>
        <w:t>评审依据：复印件并加盖公章；</w:t>
      </w:r>
    </w:p>
    <w:p>
      <w:pPr>
        <w:spacing w:line="400" w:lineRule="exact"/>
        <w:rPr>
          <w:rFonts w:ascii="宋体" w:hAnsi="宋体"/>
          <w:sz w:val="24"/>
        </w:rPr>
      </w:pPr>
      <w:r>
        <w:rPr>
          <w:rFonts w:hint="eastAsia" w:ascii="宋体" w:hAnsi="宋体"/>
          <w:sz w:val="24"/>
        </w:rPr>
        <w:t>②法人代表授权书</w:t>
      </w:r>
    </w:p>
    <w:p>
      <w:pPr>
        <w:spacing w:line="400" w:lineRule="exact"/>
        <w:rPr>
          <w:rFonts w:ascii="宋体" w:hAnsi="宋体"/>
          <w:b/>
          <w:bCs/>
          <w:sz w:val="24"/>
        </w:rPr>
      </w:pPr>
      <w:r>
        <w:rPr>
          <w:rFonts w:hint="eastAsia" w:ascii="宋体" w:hAnsi="宋体"/>
          <w:b/>
          <w:bCs/>
          <w:sz w:val="24"/>
        </w:rPr>
        <w:t>评审依据：复印件并加盖公章，若法人代表本人参与投标则不需此件；</w:t>
      </w:r>
    </w:p>
    <w:p>
      <w:pPr>
        <w:spacing w:line="400" w:lineRule="exact"/>
        <w:rPr>
          <w:rFonts w:ascii="宋体" w:hAnsi="宋体"/>
          <w:sz w:val="24"/>
        </w:rPr>
      </w:pPr>
      <w:r>
        <w:rPr>
          <w:rFonts w:hint="eastAsia" w:ascii="宋体" w:hAnsi="宋体"/>
          <w:sz w:val="24"/>
        </w:rPr>
        <w:t>③法人代表身份证</w:t>
      </w:r>
    </w:p>
    <w:p>
      <w:pPr>
        <w:spacing w:line="400" w:lineRule="exact"/>
        <w:rPr>
          <w:rFonts w:ascii="宋体" w:hAnsi="宋体"/>
          <w:b/>
          <w:bCs/>
          <w:sz w:val="24"/>
        </w:rPr>
      </w:pPr>
      <w:r>
        <w:rPr>
          <w:rFonts w:hint="eastAsia" w:ascii="宋体" w:hAnsi="宋体"/>
          <w:b/>
          <w:bCs/>
          <w:sz w:val="24"/>
        </w:rPr>
        <w:t>评审依据：复印件并加盖公章；</w:t>
      </w:r>
    </w:p>
    <w:p>
      <w:pPr>
        <w:spacing w:line="400" w:lineRule="exact"/>
        <w:rPr>
          <w:rFonts w:ascii="宋体" w:hAnsi="宋体"/>
          <w:sz w:val="24"/>
        </w:rPr>
      </w:pPr>
      <w:r>
        <w:rPr>
          <w:rFonts w:hint="eastAsia" w:ascii="宋体" w:hAnsi="宋体"/>
          <w:sz w:val="24"/>
        </w:rPr>
        <w:t>④授权代表人身份证</w:t>
      </w:r>
    </w:p>
    <w:p>
      <w:pPr>
        <w:spacing w:line="400" w:lineRule="exact"/>
        <w:rPr>
          <w:rFonts w:ascii="宋体" w:hAnsi="宋体"/>
          <w:b/>
          <w:bCs/>
          <w:sz w:val="24"/>
          <w:szCs w:val="22"/>
        </w:rPr>
      </w:pPr>
      <w:r>
        <w:rPr>
          <w:rFonts w:hint="eastAsia" w:ascii="宋体" w:hAnsi="宋体"/>
          <w:b/>
          <w:bCs/>
          <w:sz w:val="24"/>
          <w:szCs w:val="22"/>
        </w:rPr>
        <w:t>评审依据：复印件并加盖公章，开标现场提供原件查验；</w:t>
      </w:r>
    </w:p>
    <w:p>
      <w:pPr>
        <w:spacing w:line="400" w:lineRule="exact"/>
        <w:rPr>
          <w:rFonts w:ascii="宋体" w:hAnsi="宋体"/>
          <w:sz w:val="24"/>
          <w:szCs w:val="22"/>
        </w:rPr>
      </w:pPr>
      <w:r>
        <w:rPr>
          <w:rFonts w:hint="eastAsia" w:ascii="宋体" w:hAnsi="宋体"/>
          <w:sz w:val="24"/>
          <w:szCs w:val="22"/>
        </w:rPr>
        <w:t>⑤近两年以来（     年   月   日至     年   月    日，以合同签订生效时间为准）承揽过沙盘制作项目的业绩5个；</w:t>
      </w:r>
    </w:p>
    <w:p>
      <w:pPr>
        <w:pStyle w:val="2"/>
        <w:spacing w:line="400" w:lineRule="exact"/>
        <w:ind w:left="0" w:leftChars="0" w:firstLine="0" w:firstLineChars="0"/>
        <w:rPr>
          <w:rFonts w:ascii="宋体" w:hAnsi="宋体"/>
          <w:b/>
          <w:color w:val="000000"/>
          <w:sz w:val="24"/>
        </w:rPr>
      </w:pPr>
      <w:r>
        <w:rPr>
          <w:rFonts w:hint="eastAsia" w:ascii="宋体" w:hAnsi="宋体" w:cs="宋体"/>
          <w:b/>
          <w:bCs/>
          <w:sz w:val="24"/>
          <w:szCs w:val="24"/>
        </w:rPr>
        <w:t>评审依据：提供合同复印件加盖公章</w:t>
      </w:r>
    </w:p>
    <w:p>
      <w:pPr>
        <w:spacing w:line="400" w:lineRule="exact"/>
        <w:rPr>
          <w:rFonts w:ascii="宋体" w:hAnsi="宋体"/>
          <w:b/>
          <w:color w:val="000000"/>
          <w:sz w:val="24"/>
        </w:rPr>
      </w:pPr>
    </w:p>
    <w:p>
      <w:pPr>
        <w:spacing w:line="400" w:lineRule="exact"/>
        <w:rPr>
          <w:rFonts w:ascii="宋体" w:hAnsi="宋体"/>
          <w:b/>
          <w:color w:val="000000"/>
          <w:sz w:val="24"/>
        </w:rPr>
      </w:pPr>
      <w:r>
        <w:rPr>
          <w:rFonts w:hint="eastAsia" w:ascii="宋体" w:hAnsi="宋体"/>
          <w:b/>
          <w:color w:val="000000"/>
          <w:sz w:val="24"/>
        </w:rPr>
        <w:t>注：供应商应确保上述证明文件的真实性、有效性及合法性，否则，由此引起的任何责任都由供应商自行承担。</w:t>
      </w:r>
    </w:p>
    <w:p>
      <w:pPr>
        <w:spacing w:afterLines="100"/>
        <w:sectPr>
          <w:footerReference r:id="rId11" w:type="default"/>
          <w:pgSz w:w="11906" w:h="16838"/>
          <w:pgMar w:top="1418" w:right="1247" w:bottom="1418" w:left="1814" w:header="851" w:footer="992" w:gutter="0"/>
          <w:cols w:space="720" w:num="1"/>
          <w:docGrid w:type="lines" w:linePitch="312" w:charSpace="0"/>
        </w:sectPr>
      </w:pPr>
    </w:p>
    <w:p>
      <w:pPr>
        <w:tabs>
          <w:tab w:val="left" w:pos="1964"/>
        </w:tabs>
        <w:jc w:val="left"/>
        <w:rPr>
          <w:b/>
          <w:bCs/>
          <w:sz w:val="30"/>
          <w:szCs w:val="30"/>
        </w:rPr>
      </w:pPr>
      <w:r>
        <w:rPr>
          <w:rFonts w:hint="eastAsia"/>
          <w:b/>
          <w:bCs/>
          <w:sz w:val="30"/>
          <w:szCs w:val="30"/>
        </w:rPr>
        <w:t>附件：方案：</w:t>
      </w:r>
    </w:p>
    <w:p>
      <w:pPr>
        <w:pStyle w:val="2"/>
      </w:pPr>
      <w:r>
        <w:drawing>
          <wp:inline distT="0" distB="0" distL="114300" distR="114300">
            <wp:extent cx="5267325" cy="4033520"/>
            <wp:effectExtent l="0" t="0" r="9525" b="5080"/>
            <wp:docPr id="1" name="图片 1" descr="b8e3e3354377648dbbfd288156ab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8e3e3354377648dbbfd288156aba22"/>
                    <pic:cNvPicPr>
                      <a:picLocks noChangeAspect="1"/>
                    </pic:cNvPicPr>
                  </pic:nvPicPr>
                  <pic:blipFill>
                    <a:blip r:embed="rId13" cstate="print"/>
                    <a:stretch>
                      <a:fillRect/>
                    </a:stretch>
                  </pic:blipFill>
                  <pic:spPr>
                    <a:xfrm>
                      <a:off x="0" y="0"/>
                      <a:ext cx="5267325" cy="4033520"/>
                    </a:xfrm>
                    <a:prstGeom prst="rect">
                      <a:avLst/>
                    </a:prstGeom>
                  </pic:spPr>
                </pic:pic>
              </a:graphicData>
            </a:graphic>
          </wp:inline>
        </w:drawing>
      </w:r>
    </w:p>
    <w:p>
      <w:pPr>
        <w:pStyle w:val="2"/>
      </w:pPr>
      <w:r>
        <w:drawing>
          <wp:inline distT="0" distB="0" distL="0" distR="0">
            <wp:extent cx="5274310" cy="3729990"/>
            <wp:effectExtent l="19050" t="0" r="2540" b="0"/>
            <wp:docPr id="2" name="图片 1" descr="E:\图片\设计效果图\南昌大学附属口腔医院红谷滩新院建设项目设计08.06_页面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图片\设计效果图\南昌大学附属口腔医院红谷滩新院建设项目设计08.06_页面_009.jpg"/>
                    <pic:cNvPicPr>
                      <a:picLocks noChangeAspect="1" noChangeArrowheads="1"/>
                    </pic:cNvPicPr>
                  </pic:nvPicPr>
                  <pic:blipFill>
                    <a:blip r:embed="rId14" cstate="print"/>
                    <a:srcRect/>
                    <a:stretch>
                      <a:fillRect/>
                    </a:stretch>
                  </pic:blipFill>
                  <pic:spPr>
                    <a:xfrm>
                      <a:off x="0" y="0"/>
                      <a:ext cx="5274310" cy="3730228"/>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25</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27</w: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end"/>
    </w:r>
  </w:p>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31</w:t>
    </w:r>
    <w:r>
      <w:fldChar w:fldCharType="end"/>
    </w:r>
  </w:p>
  <w:p>
    <w:pPr>
      <w:pStyle w:val="12"/>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end"/>
    </w:r>
  </w:p>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33</w:t>
    </w:r>
    <w:r>
      <w:fldChar w:fldCharType="end"/>
    </w:r>
  </w:p>
  <w:p>
    <w:pPr>
      <w:pStyle w:val="12"/>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6F9B1"/>
    <w:multiLevelType w:val="singleLevel"/>
    <w:tmpl w:val="0536F9B1"/>
    <w:lvl w:ilvl="0" w:tentative="0">
      <w:start w:val="5"/>
      <w:numFmt w:val="decimal"/>
      <w:lvlText w:val="%1."/>
      <w:lvlJc w:val="left"/>
      <w:pPr>
        <w:tabs>
          <w:tab w:val="left" w:pos="312"/>
        </w:tabs>
      </w:pPr>
    </w:lvl>
  </w:abstractNum>
  <w:abstractNum w:abstractNumId="1">
    <w:nsid w:val="0690621B"/>
    <w:multiLevelType w:val="multilevel"/>
    <w:tmpl w:val="0690621B"/>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8630A2E"/>
    <w:multiLevelType w:val="multilevel"/>
    <w:tmpl w:val="28630A2E"/>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pStyle w:val="7"/>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
    <w:nsid w:val="5E10485D"/>
    <w:multiLevelType w:val="multilevel"/>
    <w:tmpl w:val="5E10485D"/>
    <w:lvl w:ilvl="0" w:tentative="0">
      <w:start w:val="1"/>
      <w:numFmt w:val="japaneseCounting"/>
      <w:lvlText w:val="第%1章"/>
      <w:lvlJc w:val="left"/>
      <w:pPr>
        <w:tabs>
          <w:tab w:val="left" w:pos="1080"/>
        </w:tabs>
        <w:ind w:left="1080" w:hanging="840"/>
      </w:pPr>
      <w:rPr>
        <w:rFonts w:hint="eastAsia"/>
      </w:rPr>
    </w:lvl>
    <w:lvl w:ilvl="1" w:tentative="0">
      <w:start w:val="1"/>
      <w:numFmt w:val="decimal"/>
      <w:lvlText w:val="%2）"/>
      <w:lvlJc w:val="left"/>
      <w:pPr>
        <w:tabs>
          <w:tab w:val="left" w:pos="1020"/>
        </w:tabs>
        <w:ind w:left="1020" w:hanging="360"/>
      </w:pPr>
      <w:rPr>
        <w:rFonts w:hint="eastAsia"/>
      </w:r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4">
    <w:nsid w:val="6944146A"/>
    <w:multiLevelType w:val="multilevel"/>
    <w:tmpl w:val="6944146A"/>
    <w:lvl w:ilvl="0" w:tentative="0">
      <w:start w:val="1"/>
      <w:numFmt w:val="japaneseCounting"/>
      <w:lvlText w:val="第%1章"/>
      <w:lvlJc w:val="left"/>
      <w:pPr>
        <w:ind w:left="1380" w:hanging="13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B176B8E"/>
    <w:multiLevelType w:val="multilevel"/>
    <w:tmpl w:val="7B176B8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I5YzVmMjQ2MzA3ZDIxMTEzNDE0YzhkNGRiZTYxOGYifQ=="/>
  </w:docVars>
  <w:rsids>
    <w:rsidRoot w:val="017F3646"/>
    <w:rsid w:val="00004199"/>
    <w:rsid w:val="00044D03"/>
    <w:rsid w:val="00104063"/>
    <w:rsid w:val="00166882"/>
    <w:rsid w:val="001A31AB"/>
    <w:rsid w:val="001D5CB9"/>
    <w:rsid w:val="001F237C"/>
    <w:rsid w:val="00203ADE"/>
    <w:rsid w:val="002150F4"/>
    <w:rsid w:val="00220DA4"/>
    <w:rsid w:val="002236E5"/>
    <w:rsid w:val="00250217"/>
    <w:rsid w:val="0029718D"/>
    <w:rsid w:val="002A099D"/>
    <w:rsid w:val="002C1255"/>
    <w:rsid w:val="002C7B8F"/>
    <w:rsid w:val="00332F7B"/>
    <w:rsid w:val="00351562"/>
    <w:rsid w:val="00384E59"/>
    <w:rsid w:val="003A0C53"/>
    <w:rsid w:val="003D3974"/>
    <w:rsid w:val="00446B46"/>
    <w:rsid w:val="004947C4"/>
    <w:rsid w:val="004A1562"/>
    <w:rsid w:val="004A435D"/>
    <w:rsid w:val="004C69F7"/>
    <w:rsid w:val="00562080"/>
    <w:rsid w:val="00581DDA"/>
    <w:rsid w:val="00693311"/>
    <w:rsid w:val="00710184"/>
    <w:rsid w:val="00714D13"/>
    <w:rsid w:val="0072431D"/>
    <w:rsid w:val="00742072"/>
    <w:rsid w:val="00766AD9"/>
    <w:rsid w:val="007818CA"/>
    <w:rsid w:val="007878ED"/>
    <w:rsid w:val="007B2740"/>
    <w:rsid w:val="007C233D"/>
    <w:rsid w:val="007C4AAB"/>
    <w:rsid w:val="007E1E92"/>
    <w:rsid w:val="007E5C1B"/>
    <w:rsid w:val="008465C3"/>
    <w:rsid w:val="00854657"/>
    <w:rsid w:val="00867436"/>
    <w:rsid w:val="00871975"/>
    <w:rsid w:val="00890993"/>
    <w:rsid w:val="008A5ADC"/>
    <w:rsid w:val="008B17AF"/>
    <w:rsid w:val="008C7677"/>
    <w:rsid w:val="008E2CA8"/>
    <w:rsid w:val="008F4480"/>
    <w:rsid w:val="00956CCA"/>
    <w:rsid w:val="00981E2B"/>
    <w:rsid w:val="00990C21"/>
    <w:rsid w:val="009D3134"/>
    <w:rsid w:val="009F02CE"/>
    <w:rsid w:val="009F3E33"/>
    <w:rsid w:val="00A34BA6"/>
    <w:rsid w:val="00A41664"/>
    <w:rsid w:val="00A7076A"/>
    <w:rsid w:val="00AE01E0"/>
    <w:rsid w:val="00AF4D2C"/>
    <w:rsid w:val="00AF5B13"/>
    <w:rsid w:val="00B410B7"/>
    <w:rsid w:val="00B87177"/>
    <w:rsid w:val="00BC518F"/>
    <w:rsid w:val="00BD3459"/>
    <w:rsid w:val="00BE5A35"/>
    <w:rsid w:val="00BF3B7D"/>
    <w:rsid w:val="00BF706D"/>
    <w:rsid w:val="00C235AB"/>
    <w:rsid w:val="00CB255E"/>
    <w:rsid w:val="00D1472B"/>
    <w:rsid w:val="00D50A62"/>
    <w:rsid w:val="00D660B4"/>
    <w:rsid w:val="00D80753"/>
    <w:rsid w:val="00DF1A4C"/>
    <w:rsid w:val="00DF1F6F"/>
    <w:rsid w:val="00DF7EDE"/>
    <w:rsid w:val="00E14E6F"/>
    <w:rsid w:val="00E25D7C"/>
    <w:rsid w:val="00E37D20"/>
    <w:rsid w:val="00E66DE6"/>
    <w:rsid w:val="00F347EC"/>
    <w:rsid w:val="00F71647"/>
    <w:rsid w:val="00F71D4F"/>
    <w:rsid w:val="00F74F11"/>
    <w:rsid w:val="00FA455E"/>
    <w:rsid w:val="00FA639F"/>
    <w:rsid w:val="00FB6145"/>
    <w:rsid w:val="00FE2207"/>
    <w:rsid w:val="011B659D"/>
    <w:rsid w:val="017F3646"/>
    <w:rsid w:val="01BF42C0"/>
    <w:rsid w:val="0271437F"/>
    <w:rsid w:val="029B6790"/>
    <w:rsid w:val="03ED0ACC"/>
    <w:rsid w:val="066912F9"/>
    <w:rsid w:val="080D12C9"/>
    <w:rsid w:val="0915316D"/>
    <w:rsid w:val="094B5A88"/>
    <w:rsid w:val="095D67E5"/>
    <w:rsid w:val="0B0E1337"/>
    <w:rsid w:val="0C0E5463"/>
    <w:rsid w:val="0CEF391B"/>
    <w:rsid w:val="0D53284C"/>
    <w:rsid w:val="0DEF1E30"/>
    <w:rsid w:val="0E514110"/>
    <w:rsid w:val="101806F6"/>
    <w:rsid w:val="121858AD"/>
    <w:rsid w:val="15C91085"/>
    <w:rsid w:val="165D3A32"/>
    <w:rsid w:val="17EE3FF4"/>
    <w:rsid w:val="181C39CC"/>
    <w:rsid w:val="1A837616"/>
    <w:rsid w:val="1B9B18EB"/>
    <w:rsid w:val="1D84514F"/>
    <w:rsid w:val="1EF34D98"/>
    <w:rsid w:val="1FC312C7"/>
    <w:rsid w:val="20A750F3"/>
    <w:rsid w:val="22A523CD"/>
    <w:rsid w:val="23445149"/>
    <w:rsid w:val="247B519E"/>
    <w:rsid w:val="280448A7"/>
    <w:rsid w:val="29665F11"/>
    <w:rsid w:val="2B94067D"/>
    <w:rsid w:val="2D74734E"/>
    <w:rsid w:val="30FF44E2"/>
    <w:rsid w:val="31CA69F0"/>
    <w:rsid w:val="35AA682B"/>
    <w:rsid w:val="36587C28"/>
    <w:rsid w:val="36A42AE6"/>
    <w:rsid w:val="38C86989"/>
    <w:rsid w:val="3B8D0C84"/>
    <w:rsid w:val="3B986FF4"/>
    <w:rsid w:val="3BF018FD"/>
    <w:rsid w:val="3C567861"/>
    <w:rsid w:val="3D755030"/>
    <w:rsid w:val="3E581F16"/>
    <w:rsid w:val="3E8629D9"/>
    <w:rsid w:val="3ECB5813"/>
    <w:rsid w:val="3EEC7A09"/>
    <w:rsid w:val="3FAB6BFA"/>
    <w:rsid w:val="40572FCC"/>
    <w:rsid w:val="406A6CC1"/>
    <w:rsid w:val="40C21743"/>
    <w:rsid w:val="434F7B78"/>
    <w:rsid w:val="43E22F9A"/>
    <w:rsid w:val="44E5444B"/>
    <w:rsid w:val="450A088C"/>
    <w:rsid w:val="4642422A"/>
    <w:rsid w:val="468B7022"/>
    <w:rsid w:val="4700254D"/>
    <w:rsid w:val="476968FA"/>
    <w:rsid w:val="47EF7C6D"/>
    <w:rsid w:val="48244ABB"/>
    <w:rsid w:val="4A9D7529"/>
    <w:rsid w:val="4B55618A"/>
    <w:rsid w:val="4D714C1E"/>
    <w:rsid w:val="4DBF2B5D"/>
    <w:rsid w:val="4E0D0408"/>
    <w:rsid w:val="4E5338E9"/>
    <w:rsid w:val="50822419"/>
    <w:rsid w:val="52452A2F"/>
    <w:rsid w:val="55E90E12"/>
    <w:rsid w:val="56C14F2C"/>
    <w:rsid w:val="57BD5D65"/>
    <w:rsid w:val="57CD06EF"/>
    <w:rsid w:val="5887499D"/>
    <w:rsid w:val="58B431BC"/>
    <w:rsid w:val="5A46051A"/>
    <w:rsid w:val="5AA8281C"/>
    <w:rsid w:val="5B0F289A"/>
    <w:rsid w:val="5B83790C"/>
    <w:rsid w:val="5D9B6652"/>
    <w:rsid w:val="5DA24F42"/>
    <w:rsid w:val="604F474D"/>
    <w:rsid w:val="60D460D5"/>
    <w:rsid w:val="617A458F"/>
    <w:rsid w:val="639217C1"/>
    <w:rsid w:val="63AF1A12"/>
    <w:rsid w:val="664D6788"/>
    <w:rsid w:val="67797AD8"/>
    <w:rsid w:val="679E6593"/>
    <w:rsid w:val="67FA14FE"/>
    <w:rsid w:val="68907BAE"/>
    <w:rsid w:val="68A67DB0"/>
    <w:rsid w:val="68D707CD"/>
    <w:rsid w:val="69B72739"/>
    <w:rsid w:val="6B746D37"/>
    <w:rsid w:val="6BB810FE"/>
    <w:rsid w:val="6CA7106B"/>
    <w:rsid w:val="6CD60F7D"/>
    <w:rsid w:val="6CD96843"/>
    <w:rsid w:val="6CE62E1E"/>
    <w:rsid w:val="6EA94BE6"/>
    <w:rsid w:val="6EAF4420"/>
    <w:rsid w:val="704B193A"/>
    <w:rsid w:val="70C058CE"/>
    <w:rsid w:val="735F79C9"/>
    <w:rsid w:val="73820CE0"/>
    <w:rsid w:val="74485D49"/>
    <w:rsid w:val="76373E52"/>
    <w:rsid w:val="766648F7"/>
    <w:rsid w:val="76CA3993"/>
    <w:rsid w:val="782835C2"/>
    <w:rsid w:val="78B374A8"/>
    <w:rsid w:val="7A703BDC"/>
    <w:rsid w:val="7A9260EC"/>
    <w:rsid w:val="7D63057C"/>
    <w:rsid w:val="7E5717C2"/>
    <w:rsid w:val="7E9126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outlineLvl w:val="0"/>
    </w:pPr>
    <w:rPr>
      <w:rFonts w:ascii="宋体"/>
      <w:sz w:val="28"/>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numPr>
        <w:ilvl w:val="2"/>
        <w:numId w:val="1"/>
      </w:numPr>
      <w:spacing w:before="260" w:after="260" w:line="416" w:lineRule="auto"/>
      <w:outlineLvl w:val="2"/>
    </w:pPr>
    <w:rPr>
      <w:b/>
      <w:bCs/>
      <w:sz w:val="32"/>
      <w:szCs w:val="32"/>
    </w:rPr>
  </w:style>
  <w:style w:type="character" w:default="1" w:styleId="17">
    <w:name w:val="Default Paragraph Font"/>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szCs w:val="22"/>
    </w:r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cs="Arial"/>
      <w:sz w:val="34"/>
      <w:szCs w:val="24"/>
    </w:rPr>
  </w:style>
  <w:style w:type="paragraph" w:styleId="8">
    <w:name w:val="toc 3"/>
    <w:basedOn w:val="1"/>
    <w:next w:val="1"/>
    <w:uiPriority w:val="39"/>
    <w:pPr>
      <w:tabs>
        <w:tab w:val="right" w:leader="dot" w:pos="9913"/>
      </w:tabs>
      <w:ind w:left="424" w:leftChars="202"/>
    </w:pPr>
  </w:style>
  <w:style w:type="paragraph" w:styleId="9">
    <w:name w:val="Plain Text"/>
    <w:basedOn w:val="1"/>
    <w:qFormat/>
    <w:uiPriority w:val="0"/>
    <w:pPr>
      <w:spacing w:line="360" w:lineRule="auto"/>
    </w:pPr>
    <w:rPr>
      <w:rFonts w:ascii="楷体_GB2312" w:hAnsi="Courier New" w:eastAsia="楷体_GB2312"/>
      <w:sz w:val="24"/>
    </w:rPr>
  </w:style>
  <w:style w:type="paragraph" w:styleId="10">
    <w:name w:val="Body Text Indent 2"/>
    <w:basedOn w:val="1"/>
    <w:qFormat/>
    <w:uiPriority w:val="0"/>
    <w:pPr>
      <w:spacing w:line="480" w:lineRule="auto"/>
      <w:ind w:left="420"/>
    </w:pPr>
  </w:style>
  <w:style w:type="paragraph" w:styleId="11">
    <w:name w:val="Balloon Text"/>
    <w:basedOn w:val="1"/>
    <w:link w:val="20"/>
    <w:uiPriority w:val="0"/>
    <w:rPr>
      <w:sz w:val="16"/>
      <w:szCs w:val="16"/>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9639"/>
      </w:tabs>
      <w:ind w:firstLine="425" w:firstLineChars="177"/>
    </w:pPr>
  </w:style>
  <w:style w:type="paragraph" w:styleId="15">
    <w:name w:val="toc 2"/>
    <w:basedOn w:val="1"/>
    <w:next w:val="1"/>
    <w:qFormat/>
    <w:uiPriority w:val="39"/>
    <w:pPr>
      <w:tabs>
        <w:tab w:val="left" w:pos="941"/>
        <w:tab w:val="right" w:leader="dot" w:pos="9629"/>
      </w:tabs>
      <w:ind w:left="420" w:leftChars="200"/>
    </w:pPr>
  </w:style>
  <w:style w:type="character" w:styleId="18">
    <w:name w:val="page number"/>
    <w:basedOn w:val="17"/>
    <w:qFormat/>
    <w:uiPriority w:val="0"/>
  </w:style>
  <w:style w:type="character" w:styleId="19">
    <w:name w:val="Hyperlink"/>
    <w:basedOn w:val="17"/>
    <w:qFormat/>
    <w:uiPriority w:val="99"/>
    <w:rPr>
      <w:color w:val="333333"/>
      <w:u w:val="none"/>
    </w:rPr>
  </w:style>
  <w:style w:type="character" w:customStyle="1" w:styleId="20">
    <w:name w:val="批注框文本 Char"/>
    <w:basedOn w:val="17"/>
    <w:link w:val="11"/>
    <w:uiPriority w:val="0"/>
    <w:rPr>
      <w:kern w:val="2"/>
      <w:sz w:val="16"/>
      <w:szCs w:val="16"/>
    </w:rPr>
  </w:style>
  <w:style w:type="character" w:customStyle="1" w:styleId="21">
    <w:name w:val="NormalCharacter"/>
    <w:qFormat/>
    <w:uiPriority w:val="0"/>
    <w:rPr>
      <w:kern w:val="2"/>
      <w:sz w:val="21"/>
      <w:szCs w:val="24"/>
      <w:lang w:val="en-US" w:eastAsia="zh-CN" w:bidi="ar-SA"/>
    </w:rPr>
  </w:style>
  <w:style w:type="paragraph" w:styleId="2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A845B-6C10-42AE-95C6-21A2567D585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34</Pages>
  <Words>14092</Words>
  <Characters>14741</Characters>
  <Lines>129</Lines>
  <Paragraphs>36</Paragraphs>
  <TotalTime>348</TotalTime>
  <ScaleCrop>false</ScaleCrop>
  <LinksUpToDate>false</LinksUpToDate>
  <CharactersWithSpaces>15523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2020-08-17T03:20:00Z</dcterms:created>
  <dc:creator>梦醒时分</dc:creator>
  <cp:lastModifiedBy>James Xu</cp:lastModifiedBy>
  <dcterms:modified xsi:type="dcterms:W3CDTF">2022-08-19T14:34:10Z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70BBBAEDA2AC47CDBC78B1DBA8052761</vt:lpwstr>
  </property>
</Properties>
</file>